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
    <w:p/>
    <w:p>
      <w:pPr>
        <w:jc w:val="center"/>
      </w:pPr>
      <w:r>
        <w:rPr>
          <w:rFonts w:ascii="Times New Roman" w:hAnsi="Times New Roman" w:eastAsia="Times New Roman"/>
          <w:b w:val="0"/>
          <w:i w:val="0"/>
          <w:sz w:val="40"/>
          <w:u w:val="none"/>
        </w:rPr>
        <w:t>Cardiff Metropolitan University</w:t>
      </w:r>
    </w:p>
    <w:p>
      <w:pPr>
        <w:spacing w:before="120"/>
        <w:jc w:val="center"/>
      </w:pPr>
      <w:r>
        <w:rPr>
          <w:rFonts w:ascii="Times New Roman" w:hAnsi="Times New Roman" w:eastAsia="Times New Roman"/>
          <w:b w:val="0"/>
          <w:i w:val="0"/>
          <w:sz w:val="28"/>
          <w:u w:val="none"/>
        </w:rPr>
        <w:t>Cardiff School of Technology</w:t>
      </w:r>
    </w:p>
    <w:p>
      <w:pPr>
        <w:jc w:val="center"/>
      </w:pPr>
      <w:r>
        <w:rPr>
          <w:rFonts w:ascii="Times New Roman" w:hAnsi="Times New Roman" w:eastAsia="Times New Roman"/>
          <w:b w:val="0"/>
          <w:i w:val="0"/>
          <w:sz w:val="28"/>
          <w:u w:val="none"/>
        </w:rPr>
        <w:t>BSc Software Engineering</w:t>
      </w:r>
    </w:p>
    <w:p/>
    <w:p/>
    <w:p>
      <w:pPr>
        <w:jc w:val="center"/>
      </w:pPr>
      <w:r>
        <w:rPr>
          <w:rFonts w:ascii="Times New Roman" w:hAnsi="Times New Roman" w:eastAsia="Times New Roman"/>
          <w:b/>
          <w:i w:val="0"/>
          <w:sz w:val="36"/>
          <w:u w:val="none"/>
        </w:rPr>
        <w:t>AI-Powered Loan Risk Assessment and Recommendation</w:t>
      </w:r>
    </w:p>
    <w:p>
      <w:pPr>
        <w:jc w:val="center"/>
      </w:pPr>
      <w:r>
        <w:rPr>
          <w:rFonts w:ascii="Times New Roman" w:hAnsi="Times New Roman" w:eastAsia="Times New Roman"/>
          <w:b/>
          <w:i w:val="0"/>
          <w:sz w:val="36"/>
          <w:u w:val="none"/>
        </w:rPr>
        <w:t>System for the Sri Lankan Banking Sector</w:t>
      </w:r>
    </w:p>
    <w:p/>
    <w:p/>
    <w:p/>
    <w:p>
      <w:pPr>
        <w:spacing w:after="80"/>
        <w:jc w:val="center"/>
      </w:pPr>
      <w:r>
        <w:rPr>
          <w:rFonts w:ascii="Times New Roman" w:hAnsi="Times New Roman" w:eastAsia="Times New Roman"/>
          <w:b w:val="0"/>
          <w:i w:val="0"/>
          <w:sz w:val="24"/>
          <w:u w:val="none"/>
        </w:rPr>
        <w:t>Submitted in [Month]</w:t>
      </w:r>
    </w:p>
    <w:p>
      <w:pPr>
        <w:spacing w:after="80"/>
        <w:jc w:val="center"/>
      </w:pPr>
      <w:r>
        <w:rPr>
          <w:rFonts w:ascii="Times New Roman" w:hAnsi="Times New Roman" w:eastAsia="Times New Roman"/>
          <w:b w:val="0"/>
          <w:i w:val="0"/>
          <w:sz w:val="24"/>
          <w:u w:val="none"/>
        </w:rPr>
        <w:t>[Year]</w:t>
      </w:r>
    </w:p>
    <w:p>
      <w:pPr>
        <w:spacing w:after="80"/>
        <w:jc w:val="center"/>
      </w:pPr>
      <w:r>
        <w:rPr>
          <w:rFonts w:ascii="Times New Roman" w:hAnsi="Times New Roman" w:eastAsia="Times New Roman"/>
          <w:b w:val="0"/>
          <w:i w:val="0"/>
          <w:sz w:val="24"/>
          <w:u w:val="none"/>
        </w:rPr>
      </w:r>
    </w:p>
    <w:p>
      <w:pPr>
        <w:spacing w:after="80"/>
        <w:jc w:val="center"/>
      </w:pPr>
      <w:r>
        <w:rPr>
          <w:rFonts w:ascii="Times New Roman" w:hAnsi="Times New Roman" w:eastAsia="Times New Roman"/>
          <w:b w:val="0"/>
          <w:i w:val="0"/>
          <w:sz w:val="24"/>
          <w:u w:val="none"/>
        </w:rPr>
        <w:t>By</w:t>
      </w:r>
    </w:p>
    <w:p>
      <w:pPr>
        <w:spacing w:after="80"/>
        <w:jc w:val="center"/>
      </w:pPr>
      <w:r>
        <w:rPr>
          <w:rFonts w:ascii="Times New Roman" w:hAnsi="Times New Roman" w:eastAsia="Times New Roman"/>
          <w:b w:val="0"/>
          <w:i w:val="0"/>
          <w:sz w:val="24"/>
          <w:u w:val="none"/>
        </w:rPr>
        <w:t>[Student Name]</w:t>
      </w:r>
    </w:p>
    <w:p>
      <w:pPr>
        <w:spacing w:after="80"/>
        <w:jc w:val="center"/>
      </w:pPr>
      <w:r>
        <w:rPr>
          <w:rFonts w:ascii="Times New Roman" w:hAnsi="Times New Roman" w:eastAsia="Times New Roman"/>
          <w:b w:val="0"/>
          <w:i w:val="0"/>
          <w:sz w:val="24"/>
          <w:u w:val="none"/>
        </w:rPr>
        <w:t>(Student ID – Cardiff ID – ICBT ID)</w:t>
      </w:r>
    </w:p>
    <w:p/>
    <w:p/>
    <w:p>
      <w:pPr>
        <w:spacing w:after="80"/>
        <w:jc w:val="center"/>
      </w:pPr>
      <w:r>
        <w:rPr>
          <w:rFonts w:ascii="Times New Roman" w:hAnsi="Times New Roman" w:eastAsia="Times New Roman"/>
          <w:b w:val="0"/>
          <w:i w:val="0"/>
          <w:sz w:val="24"/>
          <w:u w:val="none"/>
        </w:rPr>
        <w:t>This dissertation is submitted in partial fulfilment of the requirements for the degree of</w:t>
      </w:r>
    </w:p>
    <w:p>
      <w:pPr>
        <w:spacing w:after="80"/>
        <w:jc w:val="center"/>
      </w:pPr>
      <w:r>
        <w:rPr>
          <w:rFonts w:ascii="Times New Roman" w:hAnsi="Times New Roman" w:eastAsia="Times New Roman"/>
          <w:b w:val="0"/>
          <w:i w:val="0"/>
          <w:sz w:val="24"/>
          <w:u w:val="none"/>
        </w:rPr>
        <w:t>Bachelor of Science in Software Engineering (BSc SE)</w:t>
      </w:r>
    </w:p>
    <w:p>
      <w:r>
        <w:br w:type="page"/>
      </w:r>
    </w:p>
    <w:p>
      <w:pPr>
        <w:keepNext/>
        <w:pageBreakBefore w:val="0"/>
        <w:spacing w:before="360" w:after="240"/>
        <w:jc w:val="left"/>
      </w:pPr>
      <w:r>
        <w:rPr>
          <w:rFonts w:ascii="Times New Roman" w:hAnsi="Times New Roman" w:eastAsia="Times New Roman"/>
          <w:b/>
          <w:i w:val="0"/>
          <w:sz w:val="30"/>
          <w:u w:val="none"/>
        </w:rPr>
        <w:t>DECLARATION</w:t>
      </w:r>
    </w:p>
    <w:p>
      <w:pPr>
        <w:spacing w:after="200" w:line="360" w:lineRule="auto"/>
        <w:jc w:val="both"/>
      </w:pPr>
      <w:r>
        <w:rPr>
          <w:rFonts w:ascii="Times New Roman" w:hAnsi="Times New Roman" w:eastAsia="Times New Roman"/>
          <w:b w:val="0"/>
          <w:i w:val="0"/>
          <w:sz w:val="24"/>
          <w:u w:val="none"/>
        </w:rPr>
        <w:t>This work is being submitted in partial fulfilment of the requirements for the degree of Bachelor of Science in Software Engineering, and has not previously been accepted in substance for any degree and is not being concurrently submitted in candidature for any degree.</w:t>
      </w:r>
    </w:p>
    <w:p/>
    <w:p/>
    <w:p>
      <w:pPr>
        <w:spacing w:after="80" w:line="360" w:lineRule="auto"/>
        <w:jc w:val="left"/>
      </w:pPr>
      <w:r>
        <w:rPr>
          <w:rFonts w:ascii="Times New Roman" w:hAnsi="Times New Roman" w:eastAsia="Times New Roman"/>
          <w:b w:val="0"/>
          <w:i w:val="0"/>
          <w:sz w:val="24"/>
          <w:u w:val="none"/>
        </w:rPr>
        <w:t>Signed: ....................................................</w:t>
      </w:r>
    </w:p>
    <w:p>
      <w:pPr>
        <w:spacing w:after="80" w:line="360" w:lineRule="auto"/>
        <w:jc w:val="left"/>
      </w:pPr>
      <w:r>
        <w:rPr>
          <w:rFonts w:ascii="Times New Roman" w:hAnsi="Times New Roman" w:eastAsia="Times New Roman"/>
          <w:b w:val="0"/>
          <w:i w:val="0"/>
          <w:sz w:val="24"/>
          <w:u w:val="none"/>
        </w:rPr>
        <w:t>(Candidate)   Date: ....................................................</w:t>
      </w:r>
    </w:p>
    <w:p/>
    <w:p/>
    <w:p>
      <w:pPr>
        <w:keepNext/>
        <w:pageBreakBefore w:val="0"/>
        <w:spacing w:before="240" w:after="240"/>
        <w:jc w:val="left"/>
      </w:pPr>
      <w:r>
        <w:rPr>
          <w:rFonts w:ascii="Times New Roman" w:hAnsi="Times New Roman" w:eastAsia="Times New Roman"/>
          <w:b/>
          <w:i w:val="0"/>
          <w:sz w:val="28"/>
          <w:u w:val="none"/>
        </w:rPr>
        <w:t>SUPERVISOR'S DECLARATION STATEMENT</w:t>
      </w:r>
    </w:p>
    <w:p>
      <w:pPr>
        <w:spacing w:after="80" w:line="360" w:lineRule="auto"/>
        <w:jc w:val="left"/>
      </w:pPr>
      <w:r>
        <w:rPr>
          <w:rFonts w:ascii="Times New Roman" w:hAnsi="Times New Roman" w:eastAsia="Times New Roman"/>
          <w:b w:val="0"/>
          <w:i w:val="0"/>
          <w:sz w:val="24"/>
          <w:u w:val="none"/>
        </w:rPr>
        <w:t>Student Name – [Student Name]</w:t>
      </w:r>
    </w:p>
    <w:p>
      <w:pPr>
        <w:spacing w:after="160" w:line="360" w:lineRule="auto"/>
        <w:jc w:val="left"/>
      </w:pPr>
      <w:r>
        <w:rPr>
          <w:rFonts w:ascii="Times New Roman" w:hAnsi="Times New Roman" w:eastAsia="Times New Roman"/>
          <w:b w:val="0"/>
          <w:i w:val="0"/>
          <w:sz w:val="24"/>
          <w:u w:val="none"/>
        </w:rPr>
        <w:t>Supervisor's Name – [Supervisor Name]</w:t>
      </w:r>
    </w:p>
    <w:p>
      <w:pPr>
        <w:spacing w:after="200" w:line="360" w:lineRule="auto"/>
        <w:jc w:val="both"/>
      </w:pPr>
      <w:r>
        <w:rPr>
          <w:rFonts w:ascii="Times New Roman" w:hAnsi="Times New Roman" w:eastAsia="Times New Roman"/>
          <w:b w:val="0"/>
          <w:i w:val="0"/>
          <w:sz w:val="24"/>
          <w:u w:val="none"/>
        </w:rPr>
        <w:t>I acknowledge that the above named student has regularly attended the meetings, and actively engaged in the dissertation supervision process.</w:t>
      </w:r>
    </w:p>
    <w:p/>
    <w:p/>
    <w:p>
      <w:pPr>
        <w:spacing w:after="80" w:line="360" w:lineRule="auto"/>
        <w:jc w:val="left"/>
      </w:pPr>
      <w:r>
        <w:rPr>
          <w:rFonts w:ascii="Times New Roman" w:hAnsi="Times New Roman" w:eastAsia="Times New Roman"/>
          <w:b w:val="0"/>
          <w:i w:val="0"/>
          <w:sz w:val="24"/>
          <w:u w:val="none"/>
        </w:rPr>
        <w:t>Signed: ....................................................</w:t>
      </w:r>
    </w:p>
    <w:p>
      <w:pPr>
        <w:spacing w:after="80" w:line="360" w:lineRule="auto"/>
        <w:jc w:val="left"/>
      </w:pPr>
      <w:r>
        <w:rPr>
          <w:rFonts w:ascii="Times New Roman" w:hAnsi="Times New Roman" w:eastAsia="Times New Roman"/>
          <w:b w:val="0"/>
          <w:i w:val="0"/>
          <w:sz w:val="24"/>
          <w:u w:val="none"/>
        </w:rPr>
        <w:t>(Supervisor)   Date: ....................................................</w:t>
      </w:r>
    </w:p>
    <w:p>
      <w:r>
        <w:br w:type="page"/>
      </w:r>
    </w:p>
    <w:p>
      <w:pPr>
        <w:keepNext/>
        <w:pageBreakBefore w:val="0"/>
        <w:spacing w:before="360" w:after="240"/>
        <w:jc w:val="left"/>
      </w:pPr>
      <w:r>
        <w:rPr>
          <w:rFonts w:ascii="Times New Roman" w:hAnsi="Times New Roman" w:eastAsia="Times New Roman"/>
          <w:b/>
          <w:i w:val="0"/>
          <w:sz w:val="32"/>
          <w:u w:val="none"/>
        </w:rPr>
        <w:t>Acknowledgement</w:t>
      </w:r>
    </w:p>
    <w:p>
      <w:pPr>
        <w:spacing w:after="200" w:line="360" w:lineRule="auto"/>
        <w:jc w:val="both"/>
      </w:pPr>
      <w:r>
        <w:rPr>
          <w:rFonts w:ascii="Times New Roman" w:hAnsi="Times New Roman" w:eastAsia="Times New Roman"/>
          <w:b w:val="0"/>
          <w:i w:val="0"/>
          <w:sz w:val="24"/>
          <w:u w:val="none"/>
        </w:rPr>
        <w:t>I would like to thank my project supervisor for the guidance and feedback given throughout this project. The regular meetings and comments helped me stay focused on the aims of the system and correct my approach at several important stages of the work.</w:t>
      </w:r>
    </w:p>
    <w:p>
      <w:pPr>
        <w:spacing w:after="200" w:line="360" w:lineRule="auto"/>
        <w:jc w:val="both"/>
      </w:pPr>
      <w:r>
        <w:rPr>
          <w:rFonts w:ascii="Times New Roman" w:hAnsi="Times New Roman" w:eastAsia="Times New Roman"/>
          <w:b w:val="0"/>
          <w:i w:val="0"/>
          <w:sz w:val="24"/>
          <w:u w:val="none"/>
        </w:rPr>
        <w:t>I am also grateful to the academic staff of Cardiff Metropolitan University and the ICBT Campus for the knowledge and skills built up over the course of this degree, which made a project of this size possible.</w:t>
      </w:r>
    </w:p>
    <w:p>
      <w:pPr>
        <w:spacing w:after="200" w:line="360" w:lineRule="auto"/>
        <w:jc w:val="both"/>
      </w:pPr>
      <w:r>
        <w:rPr>
          <w:rFonts w:ascii="Times New Roman" w:hAnsi="Times New Roman" w:eastAsia="Times New Roman"/>
          <w:b w:val="0"/>
          <w:i w:val="0"/>
          <w:sz w:val="24"/>
          <w:u w:val="none"/>
        </w:rPr>
        <w:t>Finally, I want to thank my family and friends for their patience, support and encouragement during the time spent on this project.</w:t>
      </w:r>
    </w:p>
    <w:p>
      <w:r>
        <w:br w:type="page"/>
      </w:r>
    </w:p>
    <w:p>
      <w:pPr>
        <w:keepNext/>
        <w:pageBreakBefore w:val="0"/>
        <w:spacing w:before="360" w:after="240"/>
        <w:jc w:val="left"/>
      </w:pPr>
      <w:r>
        <w:rPr>
          <w:rFonts w:ascii="Times New Roman" w:hAnsi="Times New Roman" w:eastAsia="Times New Roman"/>
          <w:b/>
          <w:i w:val="0"/>
          <w:sz w:val="32"/>
          <w:u w:val="none"/>
        </w:rPr>
        <w:t>Abstract</w:t>
      </w:r>
    </w:p>
    <w:p>
      <w:pPr>
        <w:spacing w:after="200" w:line="360" w:lineRule="auto"/>
        <w:jc w:val="both"/>
      </w:pPr>
      <w:r>
        <w:rPr>
          <w:rFonts w:ascii="Times New Roman" w:hAnsi="Times New Roman" w:eastAsia="Times New Roman"/>
          <w:b w:val="0"/>
          <w:i w:val="0"/>
          <w:sz w:val="24"/>
          <w:u w:val="none"/>
        </w:rPr>
        <w:t>Access to fair and timely credit is an important part of financial inclusion, but the process many lenders use to decide who receives a loan is still slow, manual and inconsistent. Loan officers often rely on personal judgement and paper-based checks, which can lead to delays for the customer and uneven decisions between applicants who have similar profiles. In Sri Lanka, this problem is made worse because the Credit Information Bureau (CRIB) score and other local factors, such as guarantor liability and province-based income differences, are rarely brought together inside one automated system.</w:t>
      </w:r>
    </w:p>
    <w:p>
      <w:pPr>
        <w:spacing w:after="200" w:line="360" w:lineRule="auto"/>
        <w:jc w:val="both"/>
      </w:pPr>
      <w:r>
        <w:rPr>
          <w:rFonts w:ascii="Times New Roman" w:hAnsi="Times New Roman" w:eastAsia="Times New Roman"/>
          <w:b w:val="0"/>
          <w:i w:val="0"/>
          <w:sz w:val="24"/>
          <w:u w:val="none"/>
        </w:rPr>
        <w:t>This project presents the design and development of an AI-powered loan risk assessment and recommendation system built for the Sri Lankan lending context. The system uses a machine learning model, trained on a purpose-built Sri Lanka-specific dataset, to classify loan applicants into Low, Medium and High risk categories based on income, expenses, employment, CRIB history and guarantor exposure. On top of this classification, a set of business rules recommends a suitable loan type, loan amount and monthly instalment, applies a fixed credit policy, and produces a plain-language explanation of the decision using a generative AI model. The system also manages the full loan journey, from application and document verification through to offer, disbursement and repayment, and adds supporting features such as multilingual access (English, Sinhala and Tamil) and a currency exchange module.</w:t>
      </w:r>
    </w:p>
    <w:p>
      <w:pPr>
        <w:spacing w:after="200" w:line="360" w:lineRule="auto"/>
        <w:jc w:val="both"/>
      </w:pPr>
      <w:r>
        <w:rPr>
          <w:rFonts w:ascii="Times New Roman" w:hAnsi="Times New Roman" w:eastAsia="Times New Roman"/>
          <w:b w:val="0"/>
          <w:i w:val="0"/>
          <w:sz w:val="24"/>
          <w:u w:val="none"/>
        </w:rPr>
        <w:t>The finished system is made up of three connected parts: a Python-based machine learning service for risk prediction, a Node.js backend that holds the business logic and data, and a React-based web application used by customers, staff and administrators. This report covers the background and motivation for the project, reviews related work in credit scoring and explainable AI, and sets out the functional and non-functional requirements used to guide the design of the system, organised by system module given the number of distinct capabilities the system provides.</w:t>
      </w:r>
    </w:p>
    <w:p>
      <w:r>
        <w:br w:type="page"/>
      </w:r>
    </w:p>
    <w:p>
      <w:pPr>
        <w:keepNext/>
        <w:pageBreakBefore w:val="0"/>
        <w:spacing w:before="360" w:after="240"/>
        <w:jc w:val="left"/>
      </w:pPr>
      <w:r>
        <w:rPr>
          <w:rFonts w:ascii="Times New Roman" w:hAnsi="Times New Roman" w:eastAsia="Times New Roman"/>
          <w:b/>
          <w:i w:val="0"/>
          <w:sz w:val="32"/>
          <w:u w:val="none"/>
        </w:rPr>
        <w:t>Table of Contents</w:t>
      </w:r>
    </w:p>
    <w:p>
      <w:r>
        <w:fldChar w:fldCharType="begin"/>
        <w:instrText xml:space="preserve">TOC \o "1-3" \h \z \u</w:instrText>
        <w:fldChar w:fldCharType="separate"/>
        <w:t>Right-click here and choose "Update Field" (or press F9) to generate the table of contents.</w:t>
        <w:fldChar w:fldCharType="end"/>
      </w:r>
    </w:p>
    <w:p>
      <w:r>
        <w:br w:type="page"/>
      </w:r>
    </w:p>
    <w:p>
      <w:pPr>
        <w:keepNext/>
        <w:pageBreakBefore w:val="0"/>
        <w:spacing w:before="360" w:after="240"/>
        <w:jc w:val="left"/>
      </w:pPr>
      <w:r>
        <w:rPr>
          <w:rFonts w:ascii="Times New Roman" w:hAnsi="Times New Roman" w:eastAsia="Times New Roman"/>
          <w:b/>
          <w:i w:val="0"/>
          <w:sz w:val="32"/>
          <w:u w:val="none"/>
        </w:rPr>
        <w:t>List of Tables</w:t>
      </w:r>
    </w:p>
    <w:p>
      <w:pPr>
        <w:spacing w:after="80" w:line="360" w:lineRule="auto"/>
        <w:jc w:val="left"/>
      </w:pPr>
      <w:r>
        <w:rPr>
          <w:rFonts w:ascii="Times New Roman" w:hAnsi="Times New Roman" w:eastAsia="Times New Roman"/>
          <w:b w:val="0"/>
          <w:i w:val="0"/>
          <w:sz w:val="24"/>
          <w:u w:val="none"/>
        </w:rPr>
        <w:t>Table 1: Summary of Reviewed Literature</w:t>
      </w:r>
    </w:p>
    <w:p>
      <w:pPr>
        <w:spacing w:after="80" w:line="360" w:lineRule="auto"/>
        <w:jc w:val="left"/>
      </w:pPr>
      <w:r>
        <w:rPr>
          <w:rFonts w:ascii="Times New Roman" w:hAnsi="Times New Roman" w:eastAsia="Times New Roman"/>
          <w:b w:val="0"/>
          <w:i w:val="0"/>
          <w:sz w:val="24"/>
          <w:u w:val="none"/>
        </w:rPr>
        <w:t>Table 2: Functional Requirements — Authentication and User Account Management</w:t>
      </w:r>
    </w:p>
    <w:p>
      <w:pPr>
        <w:spacing w:after="80" w:line="360" w:lineRule="auto"/>
        <w:jc w:val="left"/>
      </w:pPr>
      <w:r>
        <w:rPr>
          <w:rFonts w:ascii="Times New Roman" w:hAnsi="Times New Roman" w:eastAsia="Times New Roman"/>
          <w:b w:val="0"/>
          <w:i w:val="0"/>
          <w:sz w:val="24"/>
          <w:u w:val="none"/>
        </w:rPr>
        <w:t>Table 3: Functional Requirements — Public Website and Self-Service Tools</w:t>
      </w:r>
    </w:p>
    <w:p>
      <w:pPr>
        <w:spacing w:after="80" w:line="360" w:lineRule="auto"/>
        <w:jc w:val="left"/>
      </w:pPr>
      <w:r>
        <w:rPr>
          <w:rFonts w:ascii="Times New Roman" w:hAnsi="Times New Roman" w:eastAsia="Times New Roman"/>
          <w:b w:val="0"/>
          <w:i w:val="0"/>
          <w:sz w:val="24"/>
          <w:u w:val="none"/>
        </w:rPr>
        <w:t>Table 4: Functional Requirements — Loan Application and Data Capture</w:t>
      </w:r>
    </w:p>
    <w:p>
      <w:pPr>
        <w:spacing w:after="80" w:line="360" w:lineRule="auto"/>
        <w:jc w:val="left"/>
      </w:pPr>
      <w:r>
        <w:rPr>
          <w:rFonts w:ascii="Times New Roman" w:hAnsi="Times New Roman" w:eastAsia="Times New Roman"/>
          <w:b w:val="0"/>
          <w:i w:val="0"/>
          <w:sz w:val="24"/>
          <w:u w:val="none"/>
        </w:rPr>
        <w:t>Table 5: Functional Requirements — Credit Risk Assessment and Decisioning</w:t>
      </w:r>
    </w:p>
    <w:p>
      <w:pPr>
        <w:spacing w:after="80" w:line="360" w:lineRule="auto"/>
        <w:jc w:val="left"/>
      </w:pPr>
      <w:r>
        <w:rPr>
          <w:rFonts w:ascii="Times New Roman" w:hAnsi="Times New Roman" w:eastAsia="Times New Roman"/>
          <w:b w:val="0"/>
          <w:i w:val="0"/>
          <w:sz w:val="24"/>
          <w:u w:val="none"/>
        </w:rPr>
        <w:t>Table 6: Functional Requirements — Loan Offers, Fees and Disbursement</w:t>
      </w:r>
    </w:p>
    <w:p>
      <w:pPr>
        <w:spacing w:after="80" w:line="360" w:lineRule="auto"/>
        <w:jc w:val="left"/>
      </w:pPr>
      <w:r>
        <w:rPr>
          <w:rFonts w:ascii="Times New Roman" w:hAnsi="Times New Roman" w:eastAsia="Times New Roman"/>
          <w:b w:val="0"/>
          <w:i w:val="0"/>
          <w:sz w:val="24"/>
          <w:u w:val="none"/>
        </w:rPr>
        <w:t>Table 7: Functional Requirements — Loan Servicing and Repayment</w:t>
      </w:r>
    </w:p>
    <w:p>
      <w:pPr>
        <w:spacing w:after="80" w:line="360" w:lineRule="auto"/>
        <w:jc w:val="left"/>
      </w:pPr>
      <w:r>
        <w:rPr>
          <w:rFonts w:ascii="Times New Roman" w:hAnsi="Times New Roman" w:eastAsia="Times New Roman"/>
          <w:b w:val="0"/>
          <w:i w:val="0"/>
          <w:sz w:val="24"/>
          <w:u w:val="none"/>
        </w:rPr>
        <w:t>Table 8: Functional Requirements — Document, Identity and Security Management</w:t>
      </w:r>
    </w:p>
    <w:p>
      <w:pPr>
        <w:spacing w:after="80" w:line="360" w:lineRule="auto"/>
        <w:jc w:val="left"/>
      </w:pPr>
      <w:r>
        <w:rPr>
          <w:rFonts w:ascii="Times New Roman" w:hAnsi="Times New Roman" w:eastAsia="Times New Roman"/>
          <w:b w:val="0"/>
          <w:i w:val="0"/>
          <w:sz w:val="24"/>
          <w:u w:val="none"/>
        </w:rPr>
        <w:t>Table 9: Functional Requirements — Currency Exchange and FX Operations</w:t>
      </w:r>
    </w:p>
    <w:p>
      <w:pPr>
        <w:spacing w:after="80" w:line="360" w:lineRule="auto"/>
        <w:jc w:val="left"/>
      </w:pPr>
      <w:r>
        <w:rPr>
          <w:rFonts w:ascii="Times New Roman" w:hAnsi="Times New Roman" w:eastAsia="Times New Roman"/>
          <w:b w:val="0"/>
          <w:i w:val="0"/>
          <w:sz w:val="24"/>
          <w:u w:val="none"/>
        </w:rPr>
        <w:t>Table 10: Functional Requirements — Notifications and Customer Support</w:t>
      </w:r>
    </w:p>
    <w:p>
      <w:pPr>
        <w:spacing w:after="80" w:line="360" w:lineRule="auto"/>
        <w:jc w:val="left"/>
      </w:pPr>
      <w:r>
        <w:rPr>
          <w:rFonts w:ascii="Times New Roman" w:hAnsi="Times New Roman" w:eastAsia="Times New Roman"/>
          <w:b w:val="0"/>
          <w:i w:val="0"/>
          <w:sz w:val="24"/>
          <w:u w:val="none"/>
        </w:rPr>
        <w:t>Table 11: Functional Requirements — Administration and Bank-Wide Reporting</w:t>
      </w:r>
    </w:p>
    <w:p>
      <w:pPr>
        <w:spacing w:after="80" w:line="360" w:lineRule="auto"/>
        <w:jc w:val="left"/>
      </w:pPr>
      <w:r>
        <w:rPr>
          <w:rFonts w:ascii="Times New Roman" w:hAnsi="Times New Roman" w:eastAsia="Times New Roman"/>
          <w:b w:val="0"/>
          <w:i w:val="0"/>
          <w:sz w:val="24"/>
          <w:u w:val="none"/>
        </w:rPr>
        <w:t>Table 12: Functional Requirements — Multilingual Support and Localisation</w:t>
      </w:r>
    </w:p>
    <w:p>
      <w:pPr>
        <w:spacing w:after="80" w:line="360" w:lineRule="auto"/>
        <w:jc w:val="left"/>
      </w:pPr>
      <w:r>
        <w:rPr>
          <w:rFonts w:ascii="Times New Roman" w:hAnsi="Times New Roman" w:eastAsia="Times New Roman"/>
          <w:b w:val="0"/>
          <w:i w:val="0"/>
          <w:sz w:val="24"/>
          <w:u w:val="none"/>
        </w:rPr>
        <w:t>Table 13: Non-Functional Requirements — Security</w:t>
      </w:r>
    </w:p>
    <w:p>
      <w:pPr>
        <w:spacing w:after="80" w:line="360" w:lineRule="auto"/>
        <w:jc w:val="left"/>
      </w:pPr>
      <w:r>
        <w:rPr>
          <w:rFonts w:ascii="Times New Roman" w:hAnsi="Times New Roman" w:eastAsia="Times New Roman"/>
          <w:b w:val="0"/>
          <w:i w:val="0"/>
          <w:sz w:val="24"/>
          <w:u w:val="none"/>
        </w:rPr>
        <w:t>Table 14: Non-Functional Requirements — Privacy and Compliance</w:t>
      </w:r>
    </w:p>
    <w:p>
      <w:pPr>
        <w:spacing w:after="80" w:line="360" w:lineRule="auto"/>
        <w:jc w:val="left"/>
      </w:pPr>
      <w:r>
        <w:rPr>
          <w:rFonts w:ascii="Times New Roman" w:hAnsi="Times New Roman" w:eastAsia="Times New Roman"/>
          <w:b w:val="0"/>
          <w:i w:val="0"/>
          <w:sz w:val="24"/>
          <w:u w:val="none"/>
        </w:rPr>
        <w:t>Table 15: Non-Functional Requirements — Performance and Efficiency</w:t>
      </w:r>
    </w:p>
    <w:p>
      <w:pPr>
        <w:spacing w:after="80" w:line="360" w:lineRule="auto"/>
        <w:jc w:val="left"/>
      </w:pPr>
      <w:r>
        <w:rPr>
          <w:rFonts w:ascii="Times New Roman" w:hAnsi="Times New Roman" w:eastAsia="Times New Roman"/>
          <w:b w:val="0"/>
          <w:i w:val="0"/>
          <w:sz w:val="24"/>
          <w:u w:val="none"/>
        </w:rPr>
        <w:t>Table 16: Non-Functional Requirements — Reliability and Availability</w:t>
      </w:r>
    </w:p>
    <w:p>
      <w:pPr>
        <w:spacing w:after="80" w:line="360" w:lineRule="auto"/>
        <w:jc w:val="left"/>
      </w:pPr>
      <w:r>
        <w:rPr>
          <w:rFonts w:ascii="Times New Roman" w:hAnsi="Times New Roman" w:eastAsia="Times New Roman"/>
          <w:b w:val="0"/>
          <w:i w:val="0"/>
          <w:sz w:val="24"/>
          <w:u w:val="none"/>
        </w:rPr>
        <w:t>Table 17: Non-Functional Requirements — Usability and Localisation</w:t>
      </w:r>
    </w:p>
    <w:p>
      <w:pPr>
        <w:spacing w:after="80" w:line="360" w:lineRule="auto"/>
        <w:jc w:val="left"/>
      </w:pPr>
      <w:r>
        <w:rPr>
          <w:rFonts w:ascii="Times New Roman" w:hAnsi="Times New Roman" w:eastAsia="Times New Roman"/>
          <w:b w:val="0"/>
          <w:i w:val="0"/>
          <w:sz w:val="24"/>
          <w:u w:val="none"/>
        </w:rPr>
        <w:t>Table 18: Non-Functional Requirements — Maintainability and Modularity</w:t>
      </w:r>
    </w:p>
    <w:p>
      <w:pPr>
        <w:spacing w:after="80" w:line="360" w:lineRule="auto"/>
        <w:jc w:val="left"/>
      </w:pPr>
      <w:r>
        <w:rPr>
          <w:rFonts w:ascii="Times New Roman" w:hAnsi="Times New Roman" w:eastAsia="Times New Roman"/>
          <w:b w:val="0"/>
          <w:i w:val="0"/>
          <w:sz w:val="24"/>
          <w:u w:val="none"/>
        </w:rPr>
        <w:t>Table 19: Non-Functional Requirements — Scalability</w:t>
      </w:r>
    </w:p>
    <w:p>
      <w:pPr>
        <w:spacing w:after="80" w:line="360" w:lineRule="auto"/>
        <w:jc w:val="left"/>
      </w:pPr>
      <w:r>
        <w:rPr>
          <w:rFonts w:ascii="Times New Roman" w:hAnsi="Times New Roman" w:eastAsia="Times New Roman"/>
          <w:b w:val="0"/>
          <w:i w:val="0"/>
          <w:sz w:val="24"/>
          <w:u w:val="none"/>
        </w:rPr>
        <w:t>Table 20: Non-Functional Requirements — Auditability and Data Integrity</w:t>
      </w:r>
    </w:p>
    <w:p>
      <w:pPr>
        <w:spacing w:after="80" w:line="360" w:lineRule="auto"/>
        <w:jc w:val="left"/>
      </w:pPr>
      <w:r>
        <w:rPr>
          <w:rFonts w:ascii="Times New Roman" w:hAnsi="Times New Roman" w:eastAsia="Times New Roman"/>
          <w:b w:val="0"/>
          <w:i w:val="0"/>
          <w:sz w:val="24"/>
          <w:u w:val="none"/>
        </w:rPr>
        <w:t>Table 21: Non-Functional Requirements — Compatibility</w:t>
      </w:r>
    </w:p>
    <w:p>
      <w:pPr>
        <w:spacing w:after="80" w:line="360" w:lineRule="auto"/>
        <w:jc w:val="left"/>
      </w:pPr>
      <w:r>
        <w:rPr>
          <w:rFonts w:ascii="Times New Roman" w:hAnsi="Times New Roman" w:eastAsia="Times New Roman"/>
          <w:b w:val="0"/>
          <w:i w:val="0"/>
          <w:sz w:val="24"/>
          <w:u w:val="none"/>
        </w:rPr>
        <w:t>Table 22: Non-Functional Requirements — Fairness and Robustness</w:t>
      </w:r>
    </w:p>
    <w:p/>
    <w:p>
      <w:pPr>
        <w:keepNext/>
        <w:pageBreakBefore w:val="0"/>
        <w:spacing w:before="360" w:after="240"/>
        <w:jc w:val="left"/>
      </w:pPr>
      <w:r>
        <w:rPr>
          <w:rFonts w:ascii="Times New Roman" w:hAnsi="Times New Roman" w:eastAsia="Times New Roman"/>
          <w:b/>
          <w:i w:val="0"/>
          <w:sz w:val="32"/>
          <w:u w:val="none"/>
        </w:rPr>
        <w:t>List of Figures</w:t>
      </w:r>
    </w:p>
    <w:p>
      <w:pPr>
        <w:spacing w:after="200" w:line="360" w:lineRule="auto"/>
        <w:jc w:val="left"/>
      </w:pPr>
      <w:r>
        <w:rPr>
          <w:rFonts w:ascii="Times New Roman" w:hAnsi="Times New Roman" w:eastAsia="Times New Roman"/>
          <w:b w:val="0"/>
          <w:i w:val="0"/>
          <w:sz w:val="24"/>
          <w:u w:val="none"/>
        </w:rPr>
        <w:t>Figures illustrating the system architecture, database design and user interface are presented in the System Design chapter of the full report and are not included in this section.</w:t>
      </w:r>
    </w:p>
    <w:p>
      <w:r>
        <w:br w:type="page"/>
      </w:r>
    </w:p>
    <w:p>
      <w:pPr>
        <w:keepNext/>
        <w:pageBreakBefore w:val="0"/>
        <w:spacing w:before="360" w:after="240"/>
        <w:jc w:val="left"/>
      </w:pPr>
      <w:r>
        <w:rPr>
          <w:rFonts w:ascii="Times New Roman" w:hAnsi="Times New Roman" w:eastAsia="Times New Roman"/>
          <w:b/>
          <w:i w:val="0"/>
          <w:sz w:val="36"/>
          <w:u w:val="none"/>
        </w:rPr>
        <w:t>1.0 Introduction</w:t>
      </w:r>
    </w:p>
    <w:p>
      <w:pPr>
        <w:keepNext/>
        <w:pageBreakBefore w:val="0"/>
        <w:spacing w:before="360" w:after="240"/>
        <w:jc w:val="left"/>
      </w:pPr>
      <w:r>
        <w:rPr>
          <w:rFonts w:ascii="Times New Roman" w:hAnsi="Times New Roman" w:eastAsia="Times New Roman"/>
          <w:b/>
          <w:i w:val="0"/>
          <w:sz w:val="28"/>
          <w:u w:val="none"/>
        </w:rPr>
        <w:t>1.1 Background Studies</w:t>
      </w:r>
    </w:p>
    <w:p>
      <w:pPr>
        <w:spacing w:after="200" w:line="360" w:lineRule="auto"/>
        <w:jc w:val="both"/>
      </w:pPr>
      <w:r>
        <w:rPr>
          <w:rFonts w:ascii="Times New Roman" w:hAnsi="Times New Roman" w:eastAsia="Times New Roman"/>
          <w:b w:val="0"/>
          <w:i w:val="0"/>
          <w:sz w:val="24"/>
          <w:u w:val="none"/>
        </w:rPr>
        <w:t>Lending is one of the core activities of any bank or finance company. Before a loan is approved, the lender has to judge how likely the applicant is to repay it. For a long time this judgement was made mostly by loan officers using fixed rules of thumb, together with a manual review of income slips, bank statements and other paperwork. This approach depends heavily on the experience of the individual officer, and it does not scale well when the number of applications grows.</w:t>
      </w:r>
    </w:p>
    <w:p>
      <w:pPr>
        <w:spacing w:after="200" w:line="360" w:lineRule="auto"/>
        <w:jc w:val="both"/>
      </w:pPr>
      <w:r>
        <w:rPr>
          <w:rFonts w:ascii="Times New Roman" w:hAnsi="Times New Roman" w:eastAsia="Times New Roman"/>
          <w:b w:val="0"/>
          <w:i w:val="0"/>
          <w:sz w:val="24"/>
          <w:u w:val="none"/>
        </w:rPr>
        <w:t>Over the last two decades, statistical credit scoring and, more recently, machine learning have been used to make this decision faster and more consistent (Thomas, 2000). A trained model can look at many more variables than a person reasonably can, and it applies the same rule to every applicant, which removes a source of bias that a manual process can introduce. Large benchmark studies have shown that modern ensemble methods, such as gradient boosted trees, are consistently among the strongest performers for this type of problem (Lessmann et al., 2015).</w:t>
      </w:r>
    </w:p>
    <w:p>
      <w:pPr>
        <w:spacing w:after="200" w:line="360" w:lineRule="auto"/>
        <w:jc w:val="both"/>
      </w:pPr>
      <w:r>
        <w:rPr>
          <w:rFonts w:ascii="Times New Roman" w:hAnsi="Times New Roman" w:eastAsia="Times New Roman"/>
          <w:b w:val="0"/>
          <w:i w:val="0"/>
          <w:sz w:val="24"/>
          <w:u w:val="none"/>
        </w:rPr>
        <w:t>Sri Lanka has its own credit reporting system, run by the Credit Information Bureau of Sri Lanka (CRIB), which has collected borrower repayment history from member banks and finance companies since 1990 and produces a three-digit credit score between 250 and 900 (Credit Information Bureau of Sri Lanka, n.d.). Alongside this formal score, informal practices that are common in Sri Lankan retail lending, such as asking a guarantor to stand behind a loan, are not usually captured by the credit scoring systems described in the international literature, which are normally built around data from the United States or Europe. The Central Bank of Sri Lanka has also been actively pushing the wider financial sector toward digital channels, through initiatives such as the National Financial Inclusion Strategy and the LankaQR payment scheme, and research on the local banking sector reports a steady move toward digital transformation across the industry (Fairooz and Wickramasinghe, 2019).</w:t>
      </w:r>
    </w:p>
    <w:p>
      <w:pPr>
        <w:spacing w:after="200" w:line="360" w:lineRule="auto"/>
        <w:jc w:val="both"/>
      </w:pPr>
      <w:r>
        <w:rPr>
          <w:rFonts w:ascii="Times New Roman" w:hAnsi="Times New Roman" w:eastAsia="Times New Roman"/>
          <w:b w:val="0"/>
          <w:i w:val="0"/>
          <w:sz w:val="24"/>
          <w:u w:val="none"/>
        </w:rPr>
        <w:t>At the same time, an automated decision is only useful if the people affected by it can understand it. A model that only outputs a label such as "High Risk" gives an applicant no way to know what to improve, and gives a bank's own staff little to check the decision against. This has led to a growing interest in explainable AI, and more recently in using generative language models to turn a set of risk factors into a short, human-readable explanation. Sri Lanka is also a multilingual country, with Sinhala, Tamil and English all in everyday use, which means a system that only communicates in English is not accessible to a large part of the population it is meant to serve.</w:t>
      </w:r>
    </w:p>
    <w:p>
      <w:pPr>
        <w:spacing w:after="200" w:line="360" w:lineRule="auto"/>
        <w:jc w:val="both"/>
      </w:pPr>
      <w:r>
        <w:rPr>
          <w:rFonts w:ascii="Times New Roman" w:hAnsi="Times New Roman" w:eastAsia="Times New Roman"/>
          <w:b w:val="0"/>
          <w:i w:val="0"/>
          <w:sz w:val="24"/>
          <w:u w:val="none"/>
        </w:rPr>
        <w:t>This background is the starting point for the project: a real, well-studied problem (credit risk assessment), a set of proven techniques to address it (machine learning combined with rule-based business logic), and a specific national context (Sri Lanka) whose particular features are not well represented in the systems and datasets normally discussed in the literature.</w:t>
      </w:r>
    </w:p>
    <w:p>
      <w:pPr>
        <w:keepNext/>
        <w:pageBreakBefore w:val="0"/>
        <w:spacing w:before="360" w:after="240"/>
        <w:jc w:val="left"/>
      </w:pPr>
      <w:r>
        <w:rPr>
          <w:rFonts w:ascii="Times New Roman" w:hAnsi="Times New Roman" w:eastAsia="Times New Roman"/>
          <w:b/>
          <w:i w:val="0"/>
          <w:sz w:val="28"/>
          <w:u w:val="none"/>
        </w:rPr>
        <w:t>1.2 Problem Statement</w:t>
      </w:r>
    </w:p>
    <w:p>
      <w:pPr>
        <w:spacing w:after="200" w:line="360" w:lineRule="auto"/>
        <w:jc w:val="both"/>
      </w:pPr>
      <w:r>
        <w:rPr>
          <w:rFonts w:ascii="Times New Roman" w:hAnsi="Times New Roman" w:eastAsia="Times New Roman"/>
          <w:b w:val="0"/>
          <w:i w:val="0"/>
          <w:sz w:val="24"/>
          <w:u w:val="none"/>
        </w:rPr>
        <w:t>Based on the background above, this project identifies the following problems with how loan risk assessment is typically carried out today:</w:t>
      </w:r>
    </w:p>
    <w:p>
      <w:pPr>
        <w:pStyle w:val="ListBullet"/>
        <w:spacing w:after="80" w:line="360" w:lineRule="auto"/>
      </w:pPr>
      <w:r>
        <w:rPr>
          <w:rFonts w:ascii="Times New Roman" w:hAnsi="Times New Roman" w:eastAsia="Times New Roman"/>
          <w:b w:val="0"/>
          <w:i w:val="0"/>
          <w:sz w:val="24"/>
          <w:u w:val="none"/>
        </w:rPr>
        <w:t>Manual, judgement-based review of loan applications is slow and does not scale, and it can produce different outcomes for applicants with similar financial profiles.</w:t>
      </w:r>
    </w:p>
    <w:p>
      <w:pPr>
        <w:pStyle w:val="ListBullet"/>
        <w:spacing w:after="80" w:line="360" w:lineRule="auto"/>
      </w:pPr>
      <w:r>
        <w:rPr>
          <w:rFonts w:ascii="Times New Roman" w:hAnsi="Times New Roman" w:eastAsia="Times New Roman"/>
          <w:b w:val="0"/>
          <w:i w:val="0"/>
          <w:sz w:val="24"/>
          <w:u w:val="none"/>
        </w:rPr>
        <w:t>Widely available credit scoring datasets and systems are built around other countries and do not represent Sri Lanka-specific factors such as the CRIB score, guarantor exposure, or province-based income differences.</w:t>
      </w:r>
    </w:p>
    <w:p>
      <w:pPr>
        <w:pStyle w:val="ListBullet"/>
        <w:spacing w:after="80" w:line="360" w:lineRule="auto"/>
      </w:pPr>
      <w:r>
        <w:rPr>
          <w:rFonts w:ascii="Times New Roman" w:hAnsi="Times New Roman" w:eastAsia="Times New Roman"/>
          <w:b w:val="0"/>
          <w:i w:val="0"/>
          <w:sz w:val="24"/>
          <w:u w:val="none"/>
        </w:rPr>
        <w:t>Even where an automated score is used, applicants and staff are usually given a label with no explanation, which makes the decision hard to trust or to challenge.</w:t>
      </w:r>
    </w:p>
    <w:p>
      <w:pPr>
        <w:pStyle w:val="ListBullet"/>
        <w:spacing w:after="80" w:line="360" w:lineRule="auto"/>
      </w:pPr>
      <w:r>
        <w:rPr>
          <w:rFonts w:ascii="Times New Roman" w:hAnsi="Times New Roman" w:eastAsia="Times New Roman"/>
          <w:b w:val="0"/>
          <w:i w:val="0"/>
          <w:sz w:val="24"/>
          <w:u w:val="none"/>
        </w:rPr>
        <w:t>Loan-related systems commonly handle only one part of the process, such as the initial application, and leave offer management, disbursement, repayment and document verification as separate manual steps.</w:t>
      </w:r>
    </w:p>
    <w:p>
      <w:pPr>
        <w:pStyle w:val="ListBullet"/>
        <w:spacing w:after="80" w:line="360" w:lineRule="auto"/>
      </w:pPr>
      <w:r>
        <w:rPr>
          <w:rFonts w:ascii="Times New Roman" w:hAnsi="Times New Roman" w:eastAsia="Times New Roman"/>
          <w:b w:val="0"/>
          <w:i w:val="0"/>
          <w:sz w:val="24"/>
          <w:u w:val="none"/>
        </w:rPr>
        <w:t>Customers who are more comfortable in Sinhala or Tamil are often left out, because most digital lending tools in use are English-only.</w:t>
      </w:r>
    </w:p>
    <w:p>
      <w:pPr>
        <w:pStyle w:val="ListBullet"/>
        <w:spacing w:after="80" w:line="360" w:lineRule="auto"/>
      </w:pPr>
      <w:r>
        <w:rPr>
          <w:rFonts w:ascii="Times New Roman" w:hAnsi="Times New Roman" w:eastAsia="Times New Roman"/>
          <w:b w:val="0"/>
          <w:i w:val="0"/>
          <w:sz w:val="24"/>
          <w:u w:val="none"/>
        </w:rPr>
        <w:t>Customers who also need simple foreign currency information, for example before travelling or receiving remittances, must use a completely separate service instead of doing this within the same banking relationship.</w:t>
      </w:r>
    </w:p>
    <w:p>
      <w:pPr>
        <w:keepNext/>
        <w:pageBreakBefore w:val="0"/>
        <w:spacing w:before="360" w:after="240"/>
        <w:jc w:val="left"/>
      </w:pPr>
      <w:r>
        <w:rPr>
          <w:rFonts w:ascii="Times New Roman" w:hAnsi="Times New Roman" w:eastAsia="Times New Roman"/>
          <w:b/>
          <w:i w:val="0"/>
          <w:sz w:val="28"/>
          <w:u w:val="none"/>
        </w:rPr>
        <w:t>1.3 Objective</w:t>
      </w:r>
    </w:p>
    <w:p>
      <w:pPr>
        <w:spacing w:after="200" w:line="360" w:lineRule="auto"/>
        <w:jc w:val="both"/>
      </w:pPr>
      <w:r>
        <w:rPr>
          <w:rFonts w:ascii="Times New Roman" w:hAnsi="Times New Roman" w:eastAsia="Times New Roman"/>
          <w:b w:val="0"/>
          <w:i w:val="0"/>
          <w:sz w:val="24"/>
          <w:u w:val="none"/>
        </w:rPr>
        <w:t>The main aim of this project is to design and develop an AI-powered loan risk assessment and recommendation system for the Sri Lankan lending context, which combines a machine learning risk model with rule-based business logic to support the full journey of a loan, from application to repayment. The specific objectives are to:</w:t>
      </w:r>
    </w:p>
    <w:p>
      <w:pPr>
        <w:pStyle w:val="ListNumber"/>
        <w:spacing w:after="80" w:line="360" w:lineRule="auto"/>
      </w:pPr>
      <w:r>
        <w:rPr>
          <w:rFonts w:ascii="Times New Roman" w:hAnsi="Times New Roman" w:eastAsia="Times New Roman"/>
          <w:b w:val="0"/>
          <w:i w:val="0"/>
          <w:sz w:val="24"/>
          <w:u w:val="none"/>
        </w:rPr>
        <w:t>Build a machine learning model that classifies a loan applicant into Low, Medium or High risk, using features that reflect the Sri Lankan lending context, including CRIB history and guarantor exposure.</w:t>
      </w:r>
    </w:p>
    <w:p>
      <w:pPr>
        <w:pStyle w:val="ListNumber"/>
        <w:spacing w:after="80" w:line="360" w:lineRule="auto"/>
      </w:pPr>
      <w:r>
        <w:rPr>
          <w:rFonts w:ascii="Times New Roman" w:hAnsi="Times New Roman" w:eastAsia="Times New Roman"/>
          <w:b w:val="0"/>
          <w:i w:val="0"/>
          <w:sz w:val="24"/>
          <w:u w:val="none"/>
        </w:rPr>
        <w:t>Design a rule-based recommendation engine that suggests a loan type, loan amount and monthly instalment based on the applicant's risk category and financial position.</w:t>
      </w:r>
    </w:p>
    <w:p>
      <w:pPr>
        <w:pStyle w:val="ListNumber"/>
        <w:spacing w:after="80" w:line="360" w:lineRule="auto"/>
      </w:pPr>
      <w:r>
        <w:rPr>
          <w:rFonts w:ascii="Times New Roman" w:hAnsi="Times New Roman" w:eastAsia="Times New Roman"/>
          <w:b w:val="0"/>
          <w:i w:val="0"/>
          <w:sz w:val="24"/>
          <w:u w:val="none"/>
        </w:rPr>
        <w:t>Apply a fixed, auditable credit policy alongside the model output, so that lending decisions are not based on the model's score alone.</w:t>
      </w:r>
    </w:p>
    <w:p>
      <w:pPr>
        <w:pStyle w:val="ListNumber"/>
        <w:spacing w:after="80" w:line="360" w:lineRule="auto"/>
      </w:pPr>
      <w:r>
        <w:rPr>
          <w:rFonts w:ascii="Times New Roman" w:hAnsi="Times New Roman" w:eastAsia="Times New Roman"/>
          <w:b w:val="0"/>
          <w:i w:val="0"/>
          <w:sz w:val="24"/>
          <w:u w:val="none"/>
        </w:rPr>
        <w:t>Produce a plain-language explanation of every risk decision using a generative AI model, so that the reasoning behind a decision is visible to both the applicant and the bank's staff.</w:t>
      </w:r>
    </w:p>
    <w:p>
      <w:pPr>
        <w:pStyle w:val="ListNumber"/>
        <w:spacing w:after="80" w:line="360" w:lineRule="auto"/>
      </w:pPr>
      <w:r>
        <w:rPr>
          <w:rFonts w:ascii="Times New Roman" w:hAnsi="Times New Roman" w:eastAsia="Times New Roman"/>
          <w:b w:val="0"/>
          <w:i w:val="0"/>
          <w:sz w:val="24"/>
          <w:u w:val="none"/>
        </w:rPr>
        <w:t>Support the complete loan lifecycle in one system: application, document and identity verification, offer, disbursement, and repayment, instead of only the initial scoring step.</w:t>
      </w:r>
    </w:p>
    <w:p>
      <w:pPr>
        <w:pStyle w:val="ListNumber"/>
        <w:spacing w:after="80" w:line="360" w:lineRule="auto"/>
      </w:pPr>
      <w:r>
        <w:rPr>
          <w:rFonts w:ascii="Times New Roman" w:hAnsi="Times New Roman" w:eastAsia="Times New Roman"/>
          <w:b w:val="0"/>
          <w:i w:val="0"/>
          <w:sz w:val="24"/>
          <w:u w:val="none"/>
        </w:rPr>
        <w:t>Make the system accessible in English, Sinhala and Tamil.</w:t>
      </w:r>
    </w:p>
    <w:p>
      <w:pPr>
        <w:pStyle w:val="ListNumber"/>
        <w:spacing w:after="80" w:line="360" w:lineRule="auto"/>
      </w:pPr>
      <w:r>
        <w:rPr>
          <w:rFonts w:ascii="Times New Roman" w:hAnsi="Times New Roman" w:eastAsia="Times New Roman"/>
          <w:b w:val="0"/>
          <w:i w:val="0"/>
          <w:sz w:val="24"/>
          <w:u w:val="none"/>
        </w:rPr>
        <w:t>Add a supporting currency exchange feature, so that customers can check exchange rates and request a foreign currency exchange within the same platform.</w:t>
      </w:r>
    </w:p>
    <w:p>
      <w:pPr>
        <w:pStyle w:val="ListNumber"/>
        <w:spacing w:after="80" w:line="360" w:lineRule="auto"/>
      </w:pPr>
      <w:r>
        <w:rPr>
          <w:rFonts w:ascii="Times New Roman" w:hAnsi="Times New Roman" w:eastAsia="Times New Roman"/>
          <w:b w:val="0"/>
          <w:i w:val="0"/>
          <w:sz w:val="24"/>
          <w:u w:val="none"/>
        </w:rPr>
        <w:t>Evaluate the resulting system against the functional and non-functional requirements defined for it, and document the honest limitations of the machine learning components.</w:t>
      </w:r>
    </w:p>
    <w:p>
      <w:pPr>
        <w:keepNext/>
        <w:pageBreakBefore w:val="0"/>
        <w:spacing w:before="360" w:after="240"/>
        <w:jc w:val="left"/>
      </w:pPr>
      <w:r>
        <w:rPr>
          <w:rFonts w:ascii="Times New Roman" w:hAnsi="Times New Roman" w:eastAsia="Times New Roman"/>
          <w:b/>
          <w:i w:val="0"/>
          <w:sz w:val="28"/>
          <w:u w:val="none"/>
        </w:rPr>
        <w:t>1.4 Solutions</w:t>
      </w:r>
    </w:p>
    <w:p>
      <w:pPr>
        <w:spacing w:after="200" w:line="360" w:lineRule="auto"/>
        <w:jc w:val="both"/>
      </w:pPr>
      <w:r>
        <w:rPr>
          <w:rFonts w:ascii="Times New Roman" w:hAnsi="Times New Roman" w:eastAsia="Times New Roman"/>
          <w:b w:val="0"/>
          <w:i w:val="0"/>
          <w:sz w:val="24"/>
          <w:u w:val="none"/>
        </w:rPr>
        <w:t>To meet the objectives above, the project proposes a system made up of three connected parts.</w:t>
      </w:r>
    </w:p>
    <w:p>
      <w:pPr>
        <w:spacing w:after="200" w:line="360" w:lineRule="auto"/>
        <w:jc w:val="both"/>
      </w:pPr>
      <w:r>
        <w:rPr>
          <w:rFonts w:ascii="Times New Roman" w:hAnsi="Times New Roman" w:eastAsia="Times New Roman"/>
          <w:b w:val="0"/>
          <w:i w:val="0"/>
          <w:sz w:val="24"/>
          <w:u w:val="none"/>
        </w:rPr>
        <w:t>The first part is a machine learning service, built in Python, that classifies loan applicants into risk categories. Because real Sri Lankan credit bureau data is not publicly available, the model is trained on a purpose-built synthetic dataset that reproduces the structure of Sri Lankan lending, including CRIB-style scores, guarantor exposure and default history, province-level income differences, and loans expressed in Sri Lankan Rupees. This dataset is generated rather than collected, which avoids the privacy and consent problems that would come with using real customer data, while still giving the model realistic, locally relevant patterns to learn. The dataset is produced by a causal simulation rather than by drawing each field independently, so a synthetic applicant's features are internally consistent with one another, for example a poor credit-bureau score cannot appear alongside a spotless repayment record. The model outputs a calibrated probability of default, from which the Low, Medium and High risk categories are derived.</w:t>
      </w:r>
    </w:p>
    <w:p>
      <w:pPr>
        <w:spacing w:after="200" w:line="360" w:lineRule="auto"/>
        <w:jc w:val="both"/>
      </w:pPr>
      <w:r>
        <w:rPr>
          <w:rFonts w:ascii="Times New Roman" w:hAnsi="Times New Roman" w:eastAsia="Times New Roman"/>
          <w:b w:val="0"/>
          <w:i w:val="0"/>
          <w:sz w:val="24"/>
          <w:u w:val="none"/>
        </w:rPr>
        <w:t>Two further design choices in the risk model were added after testing it against deliberately difficult inputs, and are reported here because they shape how trustworthy the resulting risk score is. First, the model does not use gender as an input, since a lending decision should not turn on a protected personal characteristic. Second, the model is trained to recognise when it has no information about part of an applicant's history, rather than assuming an average value, and a self-declared figure that contradicts other information already on the application (for example, an implausibly high credit-bureau score alongside several declared defaults) is capped to a plausible value and flagged for a member of staff to review, rather than accepted at face value. Both behaviours were checked directly, by constructing test applicants designed to exploit them, during development of the system.</w:t>
      </w:r>
    </w:p>
    <w:p>
      <w:pPr>
        <w:spacing w:after="200" w:line="360" w:lineRule="auto"/>
        <w:jc w:val="both"/>
      </w:pPr>
      <w:r>
        <w:rPr>
          <w:rFonts w:ascii="Times New Roman" w:hAnsi="Times New Roman" w:eastAsia="Times New Roman"/>
          <w:b w:val="0"/>
          <w:i w:val="0"/>
          <w:sz w:val="24"/>
          <w:u w:val="none"/>
        </w:rPr>
        <w:t>The second part is a backend service, built in Node.js, that acts as the gateway between the user-facing application and everything else in the system. This is where the business logic lives: it calls the machine learning service for a risk prediction, applies a fixed set of credit policy rules, works out a recommended loan type and instalment, and calls a generative AI service to produce a plain-language explanation of the outcome. The same backend also manages user accounts, loan offers, disbursement, document verification, repayment records, notifications, and the currency exchange workflow, and it is the only part of the system that talks to the database or to any external service.</w:t>
      </w:r>
    </w:p>
    <w:p>
      <w:pPr>
        <w:spacing w:after="200" w:line="360" w:lineRule="auto"/>
        <w:jc w:val="both"/>
      </w:pPr>
      <w:r>
        <w:rPr>
          <w:rFonts w:ascii="Times New Roman" w:hAnsi="Times New Roman" w:eastAsia="Times New Roman"/>
          <w:b w:val="0"/>
          <w:i w:val="0"/>
          <w:sz w:val="24"/>
          <w:u w:val="none"/>
        </w:rPr>
        <w:t>The third part is a web application, built in React, used by three types of user: customers, who apply for loans, track their application, and manage repayment; staff, who review applications, verify documents, and process disbursement and repayment; and administrators, who manage loan products, staff accounts and system settings. The customer-facing side of this application is available in English, Sinhala and Tamil.</w:t>
      </w:r>
    </w:p>
    <w:p>
      <w:pPr>
        <w:spacing w:after="200" w:line="360" w:lineRule="auto"/>
        <w:jc w:val="both"/>
      </w:pPr>
      <w:r>
        <w:rPr>
          <w:rFonts w:ascii="Times New Roman" w:hAnsi="Times New Roman" w:eastAsia="Times New Roman"/>
          <w:b w:val="0"/>
          <w:i w:val="0"/>
          <w:sz w:val="24"/>
          <w:u w:val="none"/>
        </w:rPr>
        <w:t>A detailed description of how these three parts are structured and connected, together with the database design and user interface design, is given in the System Design chapter of the full report. The remainder of this document reviews related work in credit scoring and explainable AI, and sets out the requirements used to guide the design of the system.</w:t>
      </w:r>
    </w:p>
    <w:p>
      <w:r>
        <w:br w:type="page"/>
      </w:r>
    </w:p>
    <w:p>
      <w:pPr>
        <w:keepNext/>
        <w:pageBreakBefore w:val="0"/>
        <w:spacing w:before="360" w:after="240"/>
        <w:jc w:val="left"/>
      </w:pPr>
      <w:r>
        <w:rPr>
          <w:rFonts w:ascii="Times New Roman" w:hAnsi="Times New Roman" w:eastAsia="Times New Roman"/>
          <w:b/>
          <w:i w:val="0"/>
          <w:sz w:val="36"/>
          <w:u w:val="none"/>
        </w:rPr>
        <w:t>2.0 Literature Review</w:t>
      </w:r>
    </w:p>
    <w:p>
      <w:pPr>
        <w:spacing w:after="200" w:line="360" w:lineRule="auto"/>
        <w:jc w:val="both"/>
      </w:pPr>
      <w:r>
        <w:rPr>
          <w:rFonts w:ascii="Times New Roman" w:hAnsi="Times New Roman" w:eastAsia="Times New Roman"/>
          <w:b w:val="0"/>
          <w:i w:val="0"/>
          <w:sz w:val="24"/>
          <w:u w:val="none"/>
        </w:rPr>
        <w:t>This chapter reviews existing work relevant to the project, moving from traditional credit scoring methods, through machine learning approaches and the problem of explainability, to digital lending platforms and the specific conditions of the Sri Lankan financial sector. The chapter ends with a short summary of the gap the project aims to address.</w:t>
      </w:r>
    </w:p>
    <w:p>
      <w:pPr>
        <w:keepNext/>
        <w:pageBreakBefore w:val="0"/>
        <w:spacing w:before="360" w:after="240"/>
        <w:jc w:val="left"/>
      </w:pPr>
      <w:r>
        <w:rPr>
          <w:rFonts w:ascii="Times New Roman" w:hAnsi="Times New Roman" w:eastAsia="Times New Roman"/>
          <w:b/>
          <w:i w:val="0"/>
          <w:sz w:val="28"/>
          <w:u w:val="none"/>
        </w:rPr>
        <w:t>2.1 Traditional Approaches to Credit Risk Assessment</w:t>
      </w:r>
    </w:p>
    <w:p>
      <w:pPr>
        <w:spacing w:after="200" w:line="360" w:lineRule="auto"/>
        <w:jc w:val="both"/>
      </w:pPr>
      <w:r>
        <w:rPr>
          <w:rFonts w:ascii="Times New Roman" w:hAnsi="Times New Roman" w:eastAsia="Times New Roman"/>
          <w:b w:val="0"/>
          <w:i w:val="0"/>
          <w:sz w:val="24"/>
          <w:u w:val="none"/>
        </w:rPr>
        <w:t>Before automated scoring became common, lending decisions were mostly judgemental. A loan officer would review an applicant's income, existing debt, employment history and character, often summarised under headings such as the "five Cs of credit": character, capacity, capital, collateral and conditions. This approach can work well for a small number of applicants reviewed by an experienced officer, but it does not scale, and different officers can reach different conclusions from the same information.</w:t>
      </w:r>
    </w:p>
    <w:p>
      <w:pPr>
        <w:spacing w:after="200" w:line="360" w:lineRule="auto"/>
        <w:jc w:val="both"/>
      </w:pPr>
      <w:r>
        <w:rPr>
          <w:rFonts w:ascii="Times New Roman" w:hAnsi="Times New Roman" w:eastAsia="Times New Roman"/>
          <w:b w:val="0"/>
          <w:i w:val="0"/>
          <w:sz w:val="24"/>
          <w:u w:val="none"/>
        </w:rPr>
        <w:t>Statistical scoring, most commonly logistic regression, was introduced to make this decision more consistent by turning an applicant's details into a single numeric score that predicts the probability of default. Thomas (2000) provides a widely cited survey of this period, describing how credit and behavioural scoring developed from a manual practice into a standard statistical tool used across consumer lending. The main limitation of a plain regression-based scorecard is that it assumes a simple, mostly linear relationship between an applicant's features and their risk of default. Real lending data often contains threshold effects and interactions, for example a high debt-to-income ratio combined with a poor repayment history being far worse than either factor on its own, which a linear model does not capture well unless such interactions are added by hand.</w:t>
      </w:r>
    </w:p>
    <w:p>
      <w:pPr>
        <w:keepNext/>
        <w:pageBreakBefore w:val="0"/>
        <w:spacing w:before="360" w:after="240"/>
        <w:jc w:val="left"/>
      </w:pPr>
      <w:r>
        <w:rPr>
          <w:rFonts w:ascii="Times New Roman" w:hAnsi="Times New Roman" w:eastAsia="Times New Roman"/>
          <w:b/>
          <w:i w:val="0"/>
          <w:sz w:val="28"/>
          <w:u w:val="none"/>
        </w:rPr>
        <w:t>2.2 Machine Learning Approaches to Credit Scoring</w:t>
      </w:r>
    </w:p>
    <w:p>
      <w:pPr>
        <w:spacing w:after="200" w:line="360" w:lineRule="auto"/>
        <w:jc w:val="both"/>
      </w:pPr>
      <w:r>
        <w:rPr>
          <w:rFonts w:ascii="Times New Roman" w:hAnsi="Times New Roman" w:eastAsia="Times New Roman"/>
          <w:b w:val="0"/>
          <w:i w:val="0"/>
          <w:sz w:val="24"/>
          <w:u w:val="none"/>
        </w:rPr>
        <w:t>The limitations of linear scorecards led researchers to test a wide range of machine learning classifiers on credit scoring problems, including decision trees, random forests, support vector machines, neural networks and gradient boosted trees. Lessmann et al. (2015) carried out a large benchmark of 41 classifiers across eight real-world credit scoring datasets, updating an earlier and influential comparison from the same research area. Their results consistently favour ensemble methods, models that combine many simpler classifiers, over single classifiers such as one decision tree or one logistic regression model.</w:t>
      </w:r>
    </w:p>
    <w:p>
      <w:pPr>
        <w:spacing w:after="200" w:line="360" w:lineRule="auto"/>
        <w:jc w:val="both"/>
      </w:pPr>
      <w:r>
        <w:rPr>
          <w:rFonts w:ascii="Times New Roman" w:hAnsi="Times New Roman" w:eastAsia="Times New Roman"/>
          <w:b w:val="0"/>
          <w:i w:val="0"/>
          <w:sz w:val="24"/>
          <w:u w:val="none"/>
        </w:rPr>
        <w:t>Gradient boosted trees are one of the strongest ensemble methods for this type of tabular, mixed-type data. Chen and Guestrin (2016) introduced XGBoost, an efficient and widely used implementation of gradient boosting, which has since become close to a default choice for structured data problems, including credit scoring, in both academic work and industry. Compared with a neural network, a boosted-tree model also has a practical advantage in this context: it produces feature importance values that let a reviewer see which inputs drove a particular prediction, which matters in a regulated area such as lending.</w:t>
      </w:r>
    </w:p>
    <w:p>
      <w:pPr>
        <w:spacing w:after="200" w:line="360" w:lineRule="auto"/>
        <w:jc w:val="both"/>
      </w:pPr>
      <w:r>
        <w:rPr>
          <w:rFonts w:ascii="Times New Roman" w:hAnsi="Times New Roman" w:eastAsia="Times New Roman"/>
          <w:b w:val="0"/>
          <w:i w:val="0"/>
          <w:sz w:val="24"/>
          <w:u w:val="none"/>
        </w:rPr>
        <w:t>A second recurring theme in this literature is class imbalance. In most real lending portfolios, the number of applicants who eventually default is much smaller than the number who repay normally, so a model trained without adjustment can become very good at predicting the majority class while performing poorly on the minority class it is actually meant to catch. Chawla et al. (2002) proposed the Synthetic Minority Over-sampling Technique (SMOTE), which generates additional synthetic examples of the minority class rather than simply duplicating existing ones, and this remains one of the most commonly used techniques for imbalanced classification problems, including credit scoring.</w:t>
      </w:r>
    </w:p>
    <w:p>
      <w:pPr>
        <w:spacing w:after="200" w:line="360" w:lineRule="auto"/>
        <w:jc w:val="both"/>
      </w:pPr>
      <w:r>
        <w:rPr>
          <w:rFonts w:ascii="Times New Roman" w:hAnsi="Times New Roman" w:eastAsia="Times New Roman"/>
          <w:b w:val="0"/>
          <w:i w:val="0"/>
          <w:sz w:val="24"/>
          <w:u w:val="none"/>
        </w:rPr>
        <w:t>A third practical issue, less discussed than class imbalance but just as relevant to this project, is incomplete applicant information. A first-time borrower has no track record with a given lender, and a credit bureau score is not always available or may be self-reported rather than verified. Treating a missing value as if it were an average value can be misleading, because it silently credits an unknown applicant with typical behaviour they have not actually demonstrated. Chen and Guestrin (2016) address this directly in the design of XGBoost, which learns how to route a missing value during training rather than requiring it to be filled in beforehand. This property is used directly in this project: where the system genuinely does not know something about an applicant, that absence is passed to the model as missing, rather than replaced with an assumed figure.</w:t>
      </w:r>
    </w:p>
    <w:p>
      <w:pPr>
        <w:keepNext/>
        <w:pageBreakBefore w:val="0"/>
        <w:spacing w:before="360" w:after="240"/>
        <w:jc w:val="left"/>
      </w:pPr>
      <w:r>
        <w:rPr>
          <w:rFonts w:ascii="Times New Roman" w:hAnsi="Times New Roman" w:eastAsia="Times New Roman"/>
          <w:b/>
          <w:i w:val="0"/>
          <w:sz w:val="28"/>
          <w:u w:val="none"/>
        </w:rPr>
        <w:t>2.3 Explainability in AI-Based Financial Decisions</w:t>
      </w:r>
    </w:p>
    <w:p>
      <w:pPr>
        <w:spacing w:after="200" w:line="360" w:lineRule="auto"/>
        <w:jc w:val="both"/>
      </w:pPr>
      <w:r>
        <w:rPr>
          <w:rFonts w:ascii="Times New Roman" w:hAnsi="Times New Roman" w:eastAsia="Times New Roman"/>
          <w:b w:val="0"/>
          <w:i w:val="0"/>
          <w:sz w:val="24"/>
          <w:u w:val="none"/>
        </w:rPr>
        <w:t>As more accurate models such as gradient boosting and neural networks replaced simpler ones, they also became harder to interpret. A boosted-tree or neural network model can outperform a linear scorecard, but it does not naturally produce a short, human-readable reason for an individual prediction. This is a genuine problem in lending, where an applicant who is declined a loan has a legitimate interest in knowing why, and a bank has a regulatory interest in being able to justify its decisions.</w:t>
      </w:r>
    </w:p>
    <w:p>
      <w:pPr>
        <w:spacing w:after="200" w:line="360" w:lineRule="auto"/>
        <w:jc w:val="both"/>
      </w:pPr>
      <w:r>
        <w:rPr>
          <w:rFonts w:ascii="Times New Roman" w:hAnsi="Times New Roman" w:eastAsia="Times New Roman"/>
          <w:b w:val="0"/>
          <w:i w:val="0"/>
          <w:sz w:val="24"/>
          <w:u w:val="none"/>
        </w:rPr>
        <w:t>Two methods are now standard in the explainable AI literature for addressing this. Ribeiro, Singh and Guestrin (2016) introduced LIME, which explains an individual prediction by fitting a simple, interpretable model around that one prediction, regardless of what the underlying model is. Lundberg and Lee (2017) introduced SHAP, which is based on Shapley values from game theory and assigns each input feature a share of the responsibility for a particular prediction. Both methods make it possible to say, for a specific applicant, which features pushed the risk score up or down, rather than only reporting the final label.</w:t>
      </w:r>
    </w:p>
    <w:p>
      <w:pPr>
        <w:spacing w:after="200" w:line="360" w:lineRule="auto"/>
        <w:jc w:val="both"/>
      </w:pPr>
      <w:r>
        <w:rPr>
          <w:rFonts w:ascii="Times New Roman" w:hAnsi="Times New Roman" w:eastAsia="Times New Roman"/>
          <w:b w:val="0"/>
          <w:i w:val="0"/>
          <w:sz w:val="24"/>
          <w:u w:val="none"/>
        </w:rPr>
        <w:t>A more recent development, and one directly relevant to this project, is the use of generative language models to turn structured model output, such as a risk label together with its contributing factors, into a natural-language explanation that a non-technical reader can follow. This is a practical way to combine the accuracy of a machine learning model with an explanation that reads like something a loan officer might actually say to a customer, rather than a table of numbers. This project follows that pattern: a deterministic risk model and rule set produce the decision, and a generative AI model is used only afterwards, to phrase the reasoning in plain language.</w:t>
      </w:r>
    </w:p>
    <w:p>
      <w:pPr>
        <w:keepNext/>
        <w:pageBreakBefore w:val="0"/>
        <w:spacing w:before="360" w:after="240"/>
        <w:jc w:val="left"/>
      </w:pPr>
      <w:r>
        <w:rPr>
          <w:rFonts w:ascii="Times New Roman" w:hAnsi="Times New Roman" w:eastAsia="Times New Roman"/>
          <w:b/>
          <w:i w:val="0"/>
          <w:sz w:val="28"/>
          <w:u w:val="none"/>
        </w:rPr>
        <w:t>2.4 Digital Lending, Fintech and Loan Management Systems</w:t>
      </w:r>
    </w:p>
    <w:p>
      <w:pPr>
        <w:spacing w:after="200" w:line="360" w:lineRule="auto"/>
        <w:jc w:val="both"/>
      </w:pPr>
      <w:r>
        <w:rPr>
          <w:rFonts w:ascii="Times New Roman" w:hAnsi="Times New Roman" w:eastAsia="Times New Roman"/>
          <w:b w:val="0"/>
          <w:i w:val="0"/>
          <w:sz w:val="24"/>
          <w:u w:val="none"/>
        </w:rPr>
        <w:t>Digital lending, where some or all of the application, decision and disbursement process happens online rather than at a branch counter, has grown quickly over the last decade, particularly in emerging markets where it is often presented as a way to reach customers who are not well served by traditional branch banking. Commercial loan origination platforms typically focus on making the application, document collection and initial decision faster, but published academic literature and industry reporting show that many such platforms still treat scoring as the end point, with offer management, disbursement and repayment handled by separate systems or manual processes.</w:t>
      </w:r>
    </w:p>
    <w:p>
      <w:pPr>
        <w:spacing w:after="200" w:line="360" w:lineRule="auto"/>
        <w:jc w:val="both"/>
      </w:pPr>
      <w:r>
        <w:rPr>
          <w:rFonts w:ascii="Times New Roman" w:hAnsi="Times New Roman" w:eastAsia="Times New Roman"/>
          <w:b w:val="0"/>
          <w:i w:val="0"/>
          <w:sz w:val="24"/>
          <w:u w:val="none"/>
        </w:rPr>
        <w:t>In Sri Lanka specifically, the Central Bank of Sri Lanka has been actively encouraging this shift, for example through its regulatory sandbox for fintech innovation and the LankaQR national digital payment scheme. Fairooz and Wickramasinghe (2019) reviewed the state of digital transformation in the Sri Lankan banking and financial sector and found that local institutions were adopting digital channels steadily, though unevenly across the sector. This supports the case that a Sri Lankan bank or finance company today has both the infrastructure and the customer expectation to support a system such as the one proposed in this project, even though very little published work looks specifically at combining AI-based risk scoring with full loan lifecycle management in this local context.</w:t>
      </w:r>
    </w:p>
    <w:p>
      <w:pPr>
        <w:keepNext/>
        <w:pageBreakBefore w:val="0"/>
        <w:spacing w:before="360" w:after="240"/>
        <w:jc w:val="left"/>
      </w:pPr>
      <w:r>
        <w:rPr>
          <w:rFonts w:ascii="Times New Roman" w:hAnsi="Times New Roman" w:eastAsia="Times New Roman"/>
          <w:b/>
          <w:i w:val="0"/>
          <w:sz w:val="28"/>
          <w:u w:val="none"/>
        </w:rPr>
        <w:t>2.5 The Sri Lankan Context: CRIB, Guarantors and Localisation</w:t>
      </w:r>
    </w:p>
    <w:p>
      <w:pPr>
        <w:spacing w:after="200" w:line="360" w:lineRule="auto"/>
        <w:jc w:val="both"/>
      </w:pPr>
      <w:r>
        <w:rPr>
          <w:rFonts w:ascii="Times New Roman" w:hAnsi="Times New Roman" w:eastAsia="Times New Roman"/>
          <w:b w:val="0"/>
          <w:i w:val="0"/>
          <w:sz w:val="24"/>
          <w:u w:val="none"/>
        </w:rPr>
        <w:t>Several well-known public datasets are commonly used in academic and competition settings to study credit scoring, including the German Credit dataset, the Lending Club dataset and the Home Credit Default Risk dataset. These datasets are useful for comparing algorithms, but none of them represent the Sri Lankan lending context: they do not include a CRIB-style bureau score, they do not record guarantor exposure, which is a common feature of Sri Lankan retail lending, and their income figures are not expressed in Sri Lankan Rupees or broken down by Sri Lankan province.</w:t>
      </w:r>
    </w:p>
    <w:p>
      <w:pPr>
        <w:spacing w:after="200" w:line="360" w:lineRule="auto"/>
        <w:jc w:val="both"/>
      </w:pPr>
      <w:r>
        <w:rPr>
          <w:rFonts w:ascii="Times New Roman" w:hAnsi="Times New Roman" w:eastAsia="Times New Roman"/>
          <w:b w:val="0"/>
          <w:i w:val="0"/>
          <w:sz w:val="24"/>
          <w:u w:val="none"/>
        </w:rPr>
        <w:t>The Credit Information Bureau of Sri Lanka (CRIB) has operated since 1990 and produces a three-digit credit score for individual borrowers based on their payment behaviour, existing debt and other factors (Credit Information Bureau of Sri Lanka, n.d.). This score is central to how Sri Lankan lenders already assess risk, but it is not present in any of the public datasets referred to above. Similarly, asking a guarantor to co-sign or stand behind a loan is common practice for many Sri Lankan lenders, especially for customers with a limited credit history of their own, but a guarantor's own liability and default history is rarely modelled explicitly in general-purpose credit scoring research.</w:t>
      </w:r>
    </w:p>
    <w:p>
      <w:pPr>
        <w:spacing w:after="200" w:line="360" w:lineRule="auto"/>
        <w:jc w:val="both"/>
      </w:pPr>
      <w:r>
        <w:rPr>
          <w:rFonts w:ascii="Times New Roman" w:hAnsi="Times New Roman" w:eastAsia="Times New Roman"/>
          <w:b w:val="0"/>
          <w:i w:val="0"/>
          <w:sz w:val="24"/>
          <w:u w:val="none"/>
        </w:rPr>
        <w:t>Language is a further gap. Sri Lanka has three widely spoken languages, Sinhala, Tamil and English, and a system aimed at the general public should not assume that every customer is comfortable reading English. This is a localisation requirement rather than a modelling one, but it is just as important to the goal of making a digital lending system genuinely usable by Sri Lankan customers, and it is not a factor generic international literature has reason to discuss.</w:t>
      </w:r>
    </w:p>
    <w:p>
      <w:pPr>
        <w:keepNext/>
        <w:pageBreakBefore w:val="0"/>
        <w:spacing w:before="360" w:after="240"/>
        <w:jc w:val="left"/>
      </w:pPr>
      <w:r>
        <w:rPr>
          <w:rFonts w:ascii="Times New Roman" w:hAnsi="Times New Roman" w:eastAsia="Times New Roman"/>
          <w:b/>
          <w:i w:val="0"/>
          <w:sz w:val="28"/>
          <w:u w:val="none"/>
        </w:rPr>
        <w:t>2.6 Summary and Research Gap</w:t>
      </w:r>
    </w:p>
    <w:p>
      <w:pPr>
        <w:spacing w:after="200" w:line="360" w:lineRule="auto"/>
        <w:jc w:val="both"/>
      </w:pPr>
      <w:r>
        <w:rPr>
          <w:rFonts w:ascii="Times New Roman" w:hAnsi="Times New Roman" w:eastAsia="Times New Roman"/>
          <w:b w:val="0"/>
          <w:i w:val="0"/>
          <w:sz w:val="24"/>
          <w:u w:val="none"/>
        </w:rPr>
        <w:t>The literature reviewed in this chapter supports three separate conclusions that, taken together, motivate this project. First, machine learning, and gradient boosted trees in particular, is a well-established and strong-performing approach to credit risk classification (Lessmann et al., 2015; Chen and Guestrin, 2016). Second, an accurate model is not enough on its own: a real lending decision also needs a clear explanation, which is why explainability techniques and, more recently, generative language models are increasingly used alongside predictive models (Ribeiro, Singh and Guestrin, 2016; Lundberg and Lee, 2017). Third, the specific features of the Sri Lankan lending market, particularly the CRIB score, guarantor-based lending and the country's multiple languages, are not represented in the datasets and systems that most of the international literature is built around (Credit Information Bureau of Sri Lanka, n.d.; Fairooz and Wickramasinghe, 2019).</w:t>
      </w:r>
    </w:p>
    <w:p>
      <w:pPr>
        <w:spacing w:after="200" w:line="360" w:lineRule="auto"/>
        <w:jc w:val="both"/>
      </w:pPr>
      <w:r>
        <w:rPr>
          <w:rFonts w:ascii="Times New Roman" w:hAnsi="Times New Roman" w:eastAsia="Times New Roman"/>
          <w:b w:val="0"/>
          <w:i w:val="0"/>
          <w:sz w:val="24"/>
          <w:u w:val="none"/>
        </w:rPr>
        <w:t>The gap this project addresses is therefore not a gap in any single technique, but a gap in how these pieces are normally put together. Existing work either studies risk classification in a generic, international setting, or studies Sri Lankan digital banking adoption in general terms, without combining a Sri Lanka-specific risk model, a transparent explanation layer, and full loan lifecycle management into one working system. This project's contribution is to bring these elements together, rather than to introduce a new algorithm.</w:t>
      </w:r>
    </w:p>
    <w:p>
      <w:pPr>
        <w:spacing w:after="200" w:line="360" w:lineRule="auto"/>
        <w:jc w:val="both"/>
      </w:pPr>
      <w:r>
        <w:rPr>
          <w:rFonts w:ascii="Times New Roman" w:hAnsi="Times New Roman" w:eastAsia="Times New Roman"/>
          <w:b w:val="0"/>
          <w:i w:val="0"/>
          <w:sz w:val="24"/>
          <w:u w:val="none"/>
        </w:rPr>
        <w:t>A further, smaller contribution came out of testing the assembled system rather than out of the literature directly: a model that performs well on held-out data can still behave badly on a specific, deliberately awkward input, and this only shows up by trying to break it. During development, a version of the risk model was found to give an inconsistent credit file the benefit of the doubt whenever the self-declared credit-bureau score looked good, and separately to treat a first-time applicant's absence of history as if it were a clean history. Both were corrected once found, and are recorded later in this report as an example of why testing a machine learning system has to include adversarial and edge-case inputs, not only aggregate accuracy on a test set.</w:t>
      </w:r>
    </w:p>
    <w:p>
      <w:pPr>
        <w:keepNext/>
        <w:spacing w:before="160" w:after="80"/>
      </w:pPr>
      <w:r>
        <w:rPr>
          <w:rFonts w:ascii="Times New Roman" w:hAnsi="Times New Roman" w:eastAsia="Times New Roman"/>
          <w:b/>
          <w:i w:val="0"/>
          <w:sz w:val="24"/>
          <w:u w:val="none"/>
        </w:rPr>
        <w:t>Table 1: Summary of Reviewed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2381"/>
          </w:tcPr>
          <w:p>
            <w:pPr>
              <w:spacing w:line="240" w:lineRule="auto"/>
              <w:jc w:val="center"/>
            </w:pPr>
            <w:r/>
            <w:r>
              <w:rPr>
                <w:rFonts w:ascii="Times New Roman" w:hAnsi="Times New Roman" w:eastAsia="Times New Roman"/>
                <w:b/>
                <w:i w:val="0"/>
                <w:sz w:val="24"/>
                <w:u w:val="none"/>
              </w:rPr>
              <w:t>Area</w:t>
            </w:r>
          </w:p>
        </w:tc>
        <w:tc>
          <w:tcPr>
            <w:tcW w:type="dxa" w:w="2551"/>
          </w:tcPr>
          <w:p>
            <w:pPr>
              <w:spacing w:line="240" w:lineRule="auto"/>
              <w:jc w:val="center"/>
            </w:pPr>
            <w:r/>
            <w:r>
              <w:rPr>
                <w:rFonts w:ascii="Times New Roman" w:hAnsi="Times New Roman" w:eastAsia="Times New Roman"/>
                <w:b/>
                <w:i w:val="0"/>
                <w:sz w:val="24"/>
                <w:u w:val="none"/>
              </w:rPr>
              <w:t>Key Source(s)</w:t>
            </w:r>
          </w:p>
        </w:tc>
        <w:tc>
          <w:tcPr>
            <w:tcW w:type="dxa" w:w="3402"/>
          </w:tcPr>
          <w:p>
            <w:pPr>
              <w:spacing w:line="240" w:lineRule="auto"/>
              <w:jc w:val="center"/>
            </w:pPr>
            <w:r/>
            <w:r>
              <w:rPr>
                <w:rFonts w:ascii="Times New Roman" w:hAnsi="Times New Roman" w:eastAsia="Times New Roman"/>
                <w:b/>
                <w:i w:val="0"/>
                <w:sz w:val="24"/>
                <w:u w:val="none"/>
              </w:rPr>
              <w:t>Relevance to This Project</w:t>
            </w:r>
          </w:p>
        </w:tc>
      </w:tr>
      <w:tr>
        <w:tc>
          <w:tcPr>
            <w:tcW w:type="dxa" w:w="2381"/>
          </w:tcPr>
          <w:p>
            <w:pPr>
              <w:spacing w:line="240" w:lineRule="auto"/>
            </w:pPr>
            <w:r/>
            <w:r>
              <w:rPr>
                <w:rFonts w:ascii="Times New Roman" w:hAnsi="Times New Roman" w:eastAsia="Times New Roman"/>
                <w:b w:val="0"/>
                <w:i w:val="0"/>
                <w:sz w:val="24"/>
                <w:u w:val="none"/>
              </w:rPr>
              <w:t>Traditional credit scoring</w:t>
            </w:r>
          </w:p>
        </w:tc>
        <w:tc>
          <w:tcPr>
            <w:tcW w:type="dxa" w:w="2551"/>
          </w:tcPr>
          <w:p>
            <w:pPr>
              <w:spacing w:line="240" w:lineRule="auto"/>
            </w:pPr>
            <w:r/>
            <w:r>
              <w:rPr>
                <w:rFonts w:ascii="Times New Roman" w:hAnsi="Times New Roman" w:eastAsia="Times New Roman"/>
                <w:b w:val="0"/>
                <w:i w:val="0"/>
                <w:sz w:val="24"/>
                <w:u w:val="none"/>
              </w:rPr>
              <w:t>Thomas (2000)</w:t>
            </w:r>
          </w:p>
        </w:tc>
        <w:tc>
          <w:tcPr>
            <w:tcW w:type="dxa" w:w="3402"/>
          </w:tcPr>
          <w:p>
            <w:pPr>
              <w:spacing w:line="240" w:lineRule="auto"/>
            </w:pPr>
            <w:r/>
            <w:r>
              <w:rPr>
                <w:rFonts w:ascii="Times New Roman" w:hAnsi="Times New Roman" w:eastAsia="Times New Roman"/>
                <w:b w:val="0"/>
                <w:i w:val="0"/>
                <w:sz w:val="24"/>
                <w:u w:val="none"/>
              </w:rPr>
              <w:t>Establishes the statistical scoring approach this project moves beyond.</w:t>
            </w:r>
          </w:p>
        </w:tc>
      </w:tr>
      <w:tr>
        <w:tc>
          <w:tcPr>
            <w:tcW w:type="dxa" w:w="2381"/>
          </w:tcPr>
          <w:p>
            <w:pPr>
              <w:spacing w:line="240" w:lineRule="auto"/>
            </w:pPr>
            <w:r/>
            <w:r>
              <w:rPr>
                <w:rFonts w:ascii="Times New Roman" w:hAnsi="Times New Roman" w:eastAsia="Times New Roman"/>
                <w:b w:val="0"/>
                <w:i w:val="0"/>
                <w:sz w:val="24"/>
                <w:u w:val="none"/>
              </w:rPr>
              <w:t>Benchmarking ML classifiers for credit scoring</w:t>
            </w:r>
          </w:p>
        </w:tc>
        <w:tc>
          <w:tcPr>
            <w:tcW w:type="dxa" w:w="2551"/>
          </w:tcPr>
          <w:p>
            <w:pPr>
              <w:spacing w:line="240" w:lineRule="auto"/>
            </w:pPr>
            <w:r/>
            <w:r>
              <w:rPr>
                <w:rFonts w:ascii="Times New Roman" w:hAnsi="Times New Roman" w:eastAsia="Times New Roman"/>
                <w:b w:val="0"/>
                <w:i w:val="0"/>
                <w:sz w:val="24"/>
                <w:u w:val="none"/>
              </w:rPr>
              <w:t>Lessmann et al. (2015)</w:t>
            </w:r>
          </w:p>
        </w:tc>
        <w:tc>
          <w:tcPr>
            <w:tcW w:type="dxa" w:w="3402"/>
          </w:tcPr>
          <w:p>
            <w:pPr>
              <w:spacing w:line="240" w:lineRule="auto"/>
            </w:pPr>
            <w:r/>
            <w:r>
              <w:rPr>
                <w:rFonts w:ascii="Times New Roman" w:hAnsi="Times New Roman" w:eastAsia="Times New Roman"/>
                <w:b w:val="0"/>
                <w:i w:val="0"/>
                <w:sz w:val="24"/>
                <w:u w:val="none"/>
              </w:rPr>
              <w:t>Supports the choice of a gradient boosted tree model over simpler classifiers.</w:t>
            </w:r>
          </w:p>
        </w:tc>
      </w:tr>
      <w:tr>
        <w:tc>
          <w:tcPr>
            <w:tcW w:type="dxa" w:w="2381"/>
          </w:tcPr>
          <w:p>
            <w:pPr>
              <w:spacing w:line="240" w:lineRule="auto"/>
            </w:pPr>
            <w:r/>
            <w:r>
              <w:rPr>
                <w:rFonts w:ascii="Times New Roman" w:hAnsi="Times New Roman" w:eastAsia="Times New Roman"/>
                <w:b w:val="0"/>
                <w:i w:val="0"/>
                <w:sz w:val="24"/>
                <w:u w:val="none"/>
              </w:rPr>
              <w:t>Gradient boosting algorithm</w:t>
            </w:r>
          </w:p>
        </w:tc>
        <w:tc>
          <w:tcPr>
            <w:tcW w:type="dxa" w:w="2551"/>
          </w:tcPr>
          <w:p>
            <w:pPr>
              <w:spacing w:line="240" w:lineRule="auto"/>
            </w:pPr>
            <w:r/>
            <w:r>
              <w:rPr>
                <w:rFonts w:ascii="Times New Roman" w:hAnsi="Times New Roman" w:eastAsia="Times New Roman"/>
                <w:b w:val="0"/>
                <w:i w:val="0"/>
                <w:sz w:val="24"/>
                <w:u w:val="none"/>
              </w:rPr>
              <w:t>Chen and Guestrin (2016)</w:t>
            </w:r>
          </w:p>
        </w:tc>
        <w:tc>
          <w:tcPr>
            <w:tcW w:type="dxa" w:w="3402"/>
          </w:tcPr>
          <w:p>
            <w:pPr>
              <w:spacing w:line="240" w:lineRule="auto"/>
            </w:pPr>
            <w:r/>
            <w:r>
              <w:rPr>
                <w:rFonts w:ascii="Times New Roman" w:hAnsi="Times New Roman" w:eastAsia="Times New Roman"/>
                <w:b w:val="0"/>
                <w:i w:val="0"/>
                <w:sz w:val="24"/>
                <w:u w:val="none"/>
              </w:rPr>
              <w:t>Basis for the XGBoost classifier used in the risk model.</w:t>
            </w:r>
          </w:p>
        </w:tc>
      </w:tr>
      <w:tr>
        <w:tc>
          <w:tcPr>
            <w:tcW w:type="dxa" w:w="2381"/>
          </w:tcPr>
          <w:p>
            <w:pPr>
              <w:spacing w:line="240" w:lineRule="auto"/>
            </w:pPr>
            <w:r/>
            <w:r>
              <w:rPr>
                <w:rFonts w:ascii="Times New Roman" w:hAnsi="Times New Roman" w:eastAsia="Times New Roman"/>
                <w:b w:val="0"/>
                <w:i w:val="0"/>
                <w:sz w:val="24"/>
                <w:u w:val="none"/>
              </w:rPr>
              <w:t>Class imbalance</w:t>
            </w:r>
          </w:p>
        </w:tc>
        <w:tc>
          <w:tcPr>
            <w:tcW w:type="dxa" w:w="2551"/>
          </w:tcPr>
          <w:p>
            <w:pPr>
              <w:spacing w:line="240" w:lineRule="auto"/>
            </w:pPr>
            <w:r/>
            <w:r>
              <w:rPr>
                <w:rFonts w:ascii="Times New Roman" w:hAnsi="Times New Roman" w:eastAsia="Times New Roman"/>
                <w:b w:val="0"/>
                <w:i w:val="0"/>
                <w:sz w:val="24"/>
                <w:u w:val="none"/>
              </w:rPr>
              <w:t>Chawla et al. (2002)</w:t>
            </w:r>
          </w:p>
        </w:tc>
        <w:tc>
          <w:tcPr>
            <w:tcW w:type="dxa" w:w="3402"/>
          </w:tcPr>
          <w:p>
            <w:pPr>
              <w:spacing w:line="240" w:lineRule="auto"/>
            </w:pPr>
            <w:r/>
            <w:r>
              <w:rPr>
                <w:rFonts w:ascii="Times New Roman" w:hAnsi="Times New Roman" w:eastAsia="Times New Roman"/>
                <w:b w:val="0"/>
                <w:i w:val="0"/>
                <w:sz w:val="24"/>
                <w:u w:val="none"/>
              </w:rPr>
              <w:t>Informs how the project handles the naturally smaller High-risk class.</w:t>
            </w:r>
          </w:p>
        </w:tc>
      </w:tr>
      <w:tr>
        <w:tc>
          <w:tcPr>
            <w:tcW w:type="dxa" w:w="2381"/>
          </w:tcPr>
          <w:p>
            <w:pPr>
              <w:spacing w:line="240" w:lineRule="auto"/>
            </w:pPr>
            <w:r/>
            <w:r>
              <w:rPr>
                <w:rFonts w:ascii="Times New Roman" w:hAnsi="Times New Roman" w:eastAsia="Times New Roman"/>
                <w:b w:val="0"/>
                <w:i w:val="0"/>
                <w:sz w:val="24"/>
                <w:u w:val="none"/>
              </w:rPr>
              <w:t>Model explainability</w:t>
            </w:r>
          </w:p>
        </w:tc>
        <w:tc>
          <w:tcPr>
            <w:tcW w:type="dxa" w:w="2551"/>
          </w:tcPr>
          <w:p>
            <w:pPr>
              <w:spacing w:line="240" w:lineRule="auto"/>
            </w:pPr>
            <w:r/>
            <w:r>
              <w:rPr>
                <w:rFonts w:ascii="Times New Roman" w:hAnsi="Times New Roman" w:eastAsia="Times New Roman"/>
                <w:b w:val="0"/>
                <w:i w:val="0"/>
                <w:sz w:val="24"/>
                <w:u w:val="none"/>
              </w:rPr>
              <w:t>Ribeiro, Singh and Guestrin (2016); Lundberg and Lee (2017)</w:t>
            </w:r>
          </w:p>
        </w:tc>
        <w:tc>
          <w:tcPr>
            <w:tcW w:type="dxa" w:w="3402"/>
          </w:tcPr>
          <w:p>
            <w:pPr>
              <w:spacing w:line="240" w:lineRule="auto"/>
            </w:pPr>
            <w:r/>
            <w:r>
              <w:rPr>
                <w:rFonts w:ascii="Times New Roman" w:hAnsi="Times New Roman" w:eastAsia="Times New Roman"/>
                <w:b w:val="0"/>
                <w:i w:val="0"/>
                <w:sz w:val="24"/>
                <w:u w:val="none"/>
              </w:rPr>
              <w:t>Underpins the project's approach of pairing a model with a plain-language explanation.</w:t>
            </w:r>
          </w:p>
        </w:tc>
      </w:tr>
      <w:tr>
        <w:tc>
          <w:tcPr>
            <w:tcW w:type="dxa" w:w="2381"/>
          </w:tcPr>
          <w:p>
            <w:pPr>
              <w:spacing w:line="240" w:lineRule="auto"/>
            </w:pPr>
            <w:r/>
            <w:r>
              <w:rPr>
                <w:rFonts w:ascii="Times New Roman" w:hAnsi="Times New Roman" w:eastAsia="Times New Roman"/>
                <w:b w:val="0"/>
                <w:i w:val="0"/>
                <w:sz w:val="24"/>
                <w:u w:val="none"/>
              </w:rPr>
              <w:t>Sri Lankan credit bureau data</w:t>
            </w:r>
          </w:p>
        </w:tc>
        <w:tc>
          <w:tcPr>
            <w:tcW w:type="dxa" w:w="2551"/>
          </w:tcPr>
          <w:p>
            <w:pPr>
              <w:spacing w:line="240" w:lineRule="auto"/>
            </w:pPr>
            <w:r/>
            <w:r>
              <w:rPr>
                <w:rFonts w:ascii="Times New Roman" w:hAnsi="Times New Roman" w:eastAsia="Times New Roman"/>
                <w:b w:val="0"/>
                <w:i w:val="0"/>
                <w:sz w:val="24"/>
                <w:u w:val="none"/>
              </w:rPr>
              <w:t>Credit Information Bureau of Sri Lanka (n.d.)</w:t>
            </w:r>
          </w:p>
        </w:tc>
        <w:tc>
          <w:tcPr>
            <w:tcW w:type="dxa" w:w="3402"/>
          </w:tcPr>
          <w:p>
            <w:pPr>
              <w:spacing w:line="240" w:lineRule="auto"/>
            </w:pPr>
            <w:r/>
            <w:r>
              <w:rPr>
                <w:rFonts w:ascii="Times New Roman" w:hAnsi="Times New Roman" w:eastAsia="Times New Roman"/>
                <w:b w:val="0"/>
                <w:i w:val="0"/>
                <w:sz w:val="24"/>
                <w:u w:val="none"/>
              </w:rPr>
              <w:t>Basis for the CRIB-style features used in the project's dataset.</w:t>
            </w:r>
          </w:p>
        </w:tc>
      </w:tr>
      <w:tr>
        <w:tc>
          <w:tcPr>
            <w:tcW w:type="dxa" w:w="2381"/>
          </w:tcPr>
          <w:p>
            <w:pPr>
              <w:spacing w:line="240" w:lineRule="auto"/>
            </w:pPr>
            <w:r/>
            <w:r>
              <w:rPr>
                <w:rFonts w:ascii="Times New Roman" w:hAnsi="Times New Roman" w:eastAsia="Times New Roman"/>
                <w:b w:val="0"/>
                <w:i w:val="0"/>
                <w:sz w:val="24"/>
                <w:u w:val="none"/>
              </w:rPr>
              <w:t>Digital transformation in Sri Lankan banking</w:t>
            </w:r>
          </w:p>
        </w:tc>
        <w:tc>
          <w:tcPr>
            <w:tcW w:type="dxa" w:w="2551"/>
          </w:tcPr>
          <w:p>
            <w:pPr>
              <w:spacing w:line="240" w:lineRule="auto"/>
            </w:pPr>
            <w:r/>
            <w:r>
              <w:rPr>
                <w:rFonts w:ascii="Times New Roman" w:hAnsi="Times New Roman" w:eastAsia="Times New Roman"/>
                <w:b w:val="0"/>
                <w:i w:val="0"/>
                <w:sz w:val="24"/>
                <w:u w:val="none"/>
              </w:rPr>
              <w:t>Fairooz and Wickramasinghe (2019)</w:t>
            </w:r>
          </w:p>
        </w:tc>
        <w:tc>
          <w:tcPr>
            <w:tcW w:type="dxa" w:w="3402"/>
          </w:tcPr>
          <w:p>
            <w:pPr>
              <w:spacing w:line="240" w:lineRule="auto"/>
            </w:pPr>
            <w:r/>
            <w:r>
              <w:rPr>
                <w:rFonts w:ascii="Times New Roman" w:hAnsi="Times New Roman" w:eastAsia="Times New Roman"/>
                <w:b w:val="0"/>
                <w:i w:val="0"/>
                <w:sz w:val="24"/>
                <w:u w:val="none"/>
              </w:rPr>
              <w:t>Supports the case for a digital, AI-assisted lending system in Sri Lanka.</w:t>
            </w:r>
          </w:p>
        </w:tc>
      </w:tr>
    </w:tbl>
    <w:p>
      <w:pPr>
        <w:spacing w:after="80"/>
      </w:pPr>
    </w:p>
    <w:p>
      <w:r>
        <w:br w:type="page"/>
      </w:r>
    </w:p>
    <w:p>
      <w:pPr>
        <w:keepNext/>
        <w:pageBreakBefore w:val="0"/>
        <w:spacing w:before="360" w:after="240"/>
        <w:jc w:val="left"/>
      </w:pPr>
      <w:r>
        <w:rPr>
          <w:rFonts w:ascii="Times New Roman" w:hAnsi="Times New Roman" w:eastAsia="Times New Roman"/>
          <w:b/>
          <w:i w:val="0"/>
          <w:sz w:val="36"/>
          <w:u w:val="none"/>
        </w:rPr>
        <w:t>4.3 Functional and Non-Functional Requirements</w:t>
      </w:r>
    </w:p>
    <w:p>
      <w:pPr>
        <w:spacing w:after="200" w:line="360" w:lineRule="auto"/>
        <w:jc w:val="both"/>
      </w:pPr>
      <w:r>
        <w:rPr>
          <w:rFonts w:ascii="Times New Roman" w:hAnsi="Times New Roman" w:eastAsia="Times New Roman"/>
          <w:b w:val="0"/>
          <w:i w:val="0"/>
          <w:sz w:val="24"/>
          <w:u w:val="none"/>
        </w:rPr>
        <w:t>The functional and non-functional requirements below were drawn from the background study, the problem statement, the standard practice for a system of this kind, and a detailed requirements-capture exercise carried out separately for this project. They are presented here ahead of the full requirement-gathering chapter, so that the scope of the system is clear before its design is discussed.</w:t>
      </w:r>
    </w:p>
    <w:p>
      <w:pPr>
        <w:spacing w:after="200" w:line="360" w:lineRule="auto"/>
        <w:jc w:val="both"/>
      </w:pPr>
      <w:r>
        <w:rPr>
          <w:rFonts w:ascii="Times New Roman" w:hAnsi="Times New Roman" w:eastAsia="Times New Roman"/>
          <w:b w:val="0"/>
          <w:i w:val="0"/>
          <w:sz w:val="24"/>
          <w:u w:val="none"/>
        </w:rPr>
        <w:t>Because the system is made up of many distinct capabilities that several different types of user rely on, the functional requirements are organised on a module-first basis: each module is a coherent area of capability, such as credit decisioning or currency exchange, and is presented as one table regardless of which role (customer, staff or admin) carries out a given requirement within it. An "Actor" column identifies who initiates or performs each requirement. Every requirement is given an identifier of the form FR-&lt;MODULE&gt;-&lt;number&gt;, for example FR-RISK-01, so that a specific requirement can be referred to precisely elsewhere in this report.</w:t>
      </w:r>
    </w:p>
    <w:p>
      <w:pPr>
        <w:keepNext/>
        <w:pageBreakBefore w:val="0"/>
        <w:spacing w:before="360" w:after="240"/>
        <w:jc w:val="left"/>
      </w:pPr>
      <w:r>
        <w:rPr>
          <w:rFonts w:ascii="Times New Roman" w:hAnsi="Times New Roman" w:eastAsia="Times New Roman"/>
          <w:b/>
          <w:i w:val="0"/>
          <w:sz w:val="28"/>
          <w:u w:val="none"/>
        </w:rPr>
        <w:t>4.3.1 Functional Requirements</w:t>
      </w:r>
    </w:p>
    <w:p>
      <w:pPr>
        <w:keepNext/>
        <w:pageBreakBefore w:val="0"/>
        <w:spacing w:before="280" w:after="120"/>
        <w:jc w:val="left"/>
      </w:pPr>
      <w:r>
        <w:rPr>
          <w:rFonts w:ascii="Times New Roman" w:hAnsi="Times New Roman" w:eastAsia="Times New Roman"/>
          <w:b/>
          <w:i w:val="0"/>
          <w:sz w:val="26"/>
          <w:u w:val="none"/>
        </w:rPr>
        <w:t>4.3.1.1 Authentication and User Account Management</w:t>
      </w:r>
    </w:p>
    <w:p>
      <w:pPr>
        <w:spacing w:after="120" w:line="360" w:lineRule="auto"/>
        <w:jc w:val="both"/>
      </w:pPr>
      <w:r>
        <w:rPr>
          <w:rFonts w:ascii="Times New Roman" w:hAnsi="Times New Roman" w:eastAsia="Times New Roman"/>
          <w:b w:val="0"/>
          <w:i w:val="0"/>
          <w:sz w:val="24"/>
          <w:u w:val="none"/>
        </w:rPr>
        <w:t>Covers how a person gets an account, proves who they are, and manages their own profile, across all three roles.</w:t>
      </w:r>
    </w:p>
    <w:p>
      <w:pPr>
        <w:keepNext/>
        <w:spacing w:before="160" w:after="80"/>
      </w:pPr>
      <w:r>
        <w:rPr>
          <w:rFonts w:ascii="Times New Roman" w:hAnsi="Times New Roman" w:eastAsia="Times New Roman"/>
          <w:b/>
          <w:i w:val="0"/>
          <w:sz w:val="24"/>
          <w:u w:val="none"/>
        </w:rPr>
        <w:t>Table 2: Functional Requirements — Authentication and User Account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FR-AUTH-01</w:t>
            </w:r>
          </w:p>
        </w:tc>
        <w:tc>
          <w:tcPr>
            <w:tcW w:type="dxa" w:w="1928"/>
          </w:tcPr>
          <w:p>
            <w:pPr>
              <w:spacing w:line="240" w:lineRule="auto"/>
            </w:pPr>
            <w:r/>
            <w:r>
              <w:rPr>
                <w:rFonts w:ascii="Times New Roman" w:hAnsi="Times New Roman" w:eastAsia="Times New Roman"/>
                <w:b w:val="0"/>
                <w:i w:val="0"/>
                <w:sz w:val="22"/>
                <w:u w:val="none"/>
              </w:rPr>
              <w:t>Visitor</w:t>
            </w:r>
          </w:p>
        </w:tc>
        <w:tc>
          <w:tcPr>
            <w:tcW w:type="dxa" w:w="4932"/>
          </w:tcPr>
          <w:p>
            <w:pPr>
              <w:spacing w:line="240" w:lineRule="auto"/>
            </w:pPr>
            <w:r/>
            <w:r>
              <w:rPr>
                <w:rFonts w:ascii="Times New Roman" w:hAnsi="Times New Roman" w:eastAsia="Times New Roman"/>
                <w:b w:val="0"/>
                <w:i w:val="0"/>
                <w:sz w:val="22"/>
                <w:u w:val="none"/>
              </w:rPr>
              <w:t>The system shall allow a visitor to register a customer account by providing personal, contact, employment and income details.</w:t>
            </w:r>
          </w:p>
        </w:tc>
      </w:tr>
      <w:tr>
        <w:tc>
          <w:tcPr>
            <w:tcW w:type="dxa" w:w="1361"/>
          </w:tcPr>
          <w:p>
            <w:pPr>
              <w:spacing w:line="240" w:lineRule="auto"/>
            </w:pPr>
            <w:r/>
            <w:r>
              <w:rPr>
                <w:rFonts w:ascii="Times New Roman" w:hAnsi="Times New Roman" w:eastAsia="Times New Roman"/>
                <w:b w:val="0"/>
                <w:i w:val="0"/>
                <w:sz w:val="22"/>
                <w:u w:val="none"/>
              </w:rPr>
              <w:t>FR-AUTH-02</w:t>
            </w:r>
          </w:p>
        </w:tc>
        <w:tc>
          <w:tcPr>
            <w:tcW w:type="dxa" w:w="1928"/>
          </w:tcPr>
          <w:p>
            <w:pPr>
              <w:spacing w:line="240" w:lineRule="auto"/>
            </w:pPr>
            <w:r/>
            <w:r>
              <w:rPr>
                <w:rFonts w:ascii="Times New Roman" w:hAnsi="Times New Roman" w:eastAsia="Times New Roman"/>
                <w:b w:val="0"/>
                <w:i w:val="0"/>
                <w:sz w:val="22"/>
                <w:u w:val="none"/>
              </w:rPr>
              <w:t>Customer / Staff / Admin</w:t>
            </w:r>
          </w:p>
        </w:tc>
        <w:tc>
          <w:tcPr>
            <w:tcW w:type="dxa" w:w="4932"/>
          </w:tcPr>
          <w:p>
            <w:pPr>
              <w:spacing w:line="240" w:lineRule="auto"/>
            </w:pPr>
            <w:r/>
            <w:r>
              <w:rPr>
                <w:rFonts w:ascii="Times New Roman" w:hAnsi="Times New Roman" w:eastAsia="Times New Roman"/>
                <w:b w:val="0"/>
                <w:i w:val="0"/>
                <w:sz w:val="22"/>
                <w:u w:val="none"/>
              </w:rPr>
              <w:t>The system shall allow a registered user to log in securely and remain authenticated for the duration of a browsing session.</w:t>
            </w:r>
          </w:p>
        </w:tc>
      </w:tr>
      <w:tr>
        <w:tc>
          <w:tcPr>
            <w:tcW w:type="dxa" w:w="1361"/>
          </w:tcPr>
          <w:p>
            <w:pPr>
              <w:spacing w:line="240" w:lineRule="auto"/>
            </w:pPr>
            <w:r/>
            <w:r>
              <w:rPr>
                <w:rFonts w:ascii="Times New Roman" w:hAnsi="Times New Roman" w:eastAsia="Times New Roman"/>
                <w:b w:val="0"/>
                <w:i w:val="0"/>
                <w:sz w:val="22"/>
                <w:u w:val="none"/>
              </w:rPr>
              <w:t>FR-AUTH-03</w:t>
            </w:r>
          </w:p>
        </w:tc>
        <w:tc>
          <w:tcPr>
            <w:tcW w:type="dxa" w:w="1928"/>
          </w:tcPr>
          <w:p>
            <w:pPr>
              <w:spacing w:line="240" w:lineRule="auto"/>
            </w:pPr>
            <w:r/>
            <w:r>
              <w:rPr>
                <w:rFonts w:ascii="Times New Roman" w:hAnsi="Times New Roman" w:eastAsia="Times New Roman"/>
                <w:b w:val="0"/>
                <w:i w:val="0"/>
                <w:sz w:val="22"/>
                <w:u w:val="none"/>
              </w:rPr>
              <w:t>Customer / Staff / Admin</w:t>
            </w:r>
          </w:p>
        </w:tc>
        <w:tc>
          <w:tcPr>
            <w:tcW w:type="dxa" w:w="4932"/>
          </w:tcPr>
          <w:p>
            <w:pPr>
              <w:spacing w:line="240" w:lineRule="auto"/>
            </w:pPr>
            <w:r/>
            <w:r>
              <w:rPr>
                <w:rFonts w:ascii="Times New Roman" w:hAnsi="Times New Roman" w:eastAsia="Times New Roman"/>
                <w:b w:val="0"/>
                <w:i w:val="0"/>
                <w:sz w:val="22"/>
                <w:u w:val="none"/>
              </w:rPr>
              <w:t>The system shall allow a user to reset a forgotten password using a one-time code sent to their registered email address.</w:t>
            </w:r>
          </w:p>
        </w:tc>
      </w:tr>
      <w:tr>
        <w:tc>
          <w:tcPr>
            <w:tcW w:type="dxa" w:w="1361"/>
          </w:tcPr>
          <w:p>
            <w:pPr>
              <w:spacing w:line="240" w:lineRule="auto"/>
            </w:pPr>
            <w:r/>
            <w:r>
              <w:rPr>
                <w:rFonts w:ascii="Times New Roman" w:hAnsi="Times New Roman" w:eastAsia="Times New Roman"/>
                <w:b w:val="0"/>
                <w:i w:val="0"/>
                <w:sz w:val="22"/>
                <w:u w:val="none"/>
              </w:rPr>
              <w:t>FR-AUTH-04</w:t>
            </w:r>
          </w:p>
        </w:tc>
        <w:tc>
          <w:tcPr>
            <w:tcW w:type="dxa" w:w="1928"/>
          </w:tcPr>
          <w:p>
            <w:pPr>
              <w:spacing w:line="240" w:lineRule="auto"/>
            </w:pPr>
            <w:r/>
            <w:r>
              <w:rPr>
                <w:rFonts w:ascii="Times New Roman" w:hAnsi="Times New Roman" w:eastAsia="Times New Roman"/>
                <w:b w:val="0"/>
                <w:i w:val="0"/>
                <w:sz w:val="22"/>
                <w:u w:val="none"/>
              </w:rPr>
              <w:t>Customer / Staff / Admin</w:t>
            </w:r>
          </w:p>
        </w:tc>
        <w:tc>
          <w:tcPr>
            <w:tcW w:type="dxa" w:w="4932"/>
          </w:tcPr>
          <w:p>
            <w:pPr>
              <w:spacing w:line="240" w:lineRule="auto"/>
            </w:pPr>
            <w:r/>
            <w:r>
              <w:rPr>
                <w:rFonts w:ascii="Times New Roman" w:hAnsi="Times New Roman" w:eastAsia="Times New Roman"/>
                <w:b w:val="0"/>
                <w:i w:val="0"/>
                <w:sz w:val="22"/>
                <w:u w:val="none"/>
              </w:rPr>
              <w:t>The system shall allow a logged-in user to change their password from their own profile.</w:t>
            </w:r>
          </w:p>
        </w:tc>
      </w:tr>
      <w:tr>
        <w:tc>
          <w:tcPr>
            <w:tcW w:type="dxa" w:w="1361"/>
          </w:tcPr>
          <w:p>
            <w:pPr>
              <w:spacing w:line="240" w:lineRule="auto"/>
            </w:pPr>
            <w:r/>
            <w:r>
              <w:rPr>
                <w:rFonts w:ascii="Times New Roman" w:hAnsi="Times New Roman" w:eastAsia="Times New Roman"/>
                <w:b w:val="0"/>
                <w:i w:val="0"/>
                <w:sz w:val="22"/>
                <w:u w:val="none"/>
              </w:rPr>
              <w:t>FR-AUTH-05</w:t>
            </w:r>
          </w:p>
        </w:tc>
        <w:tc>
          <w:tcPr>
            <w:tcW w:type="dxa" w:w="1928"/>
          </w:tcPr>
          <w:p>
            <w:pPr>
              <w:spacing w:line="240" w:lineRule="auto"/>
            </w:pPr>
            <w:r/>
            <w:r>
              <w:rPr>
                <w:rFonts w:ascii="Times New Roman" w:hAnsi="Times New Roman" w:eastAsia="Times New Roman"/>
                <w:b w:val="0"/>
                <w:i w:val="0"/>
                <w:sz w:val="22"/>
                <w:u w:val="none"/>
              </w:rPr>
              <w:t>Customer / Staff / Admin</w:t>
            </w:r>
          </w:p>
        </w:tc>
        <w:tc>
          <w:tcPr>
            <w:tcW w:type="dxa" w:w="4932"/>
          </w:tcPr>
          <w:p>
            <w:pPr>
              <w:spacing w:line="240" w:lineRule="auto"/>
            </w:pPr>
            <w:r/>
            <w:r>
              <w:rPr>
                <w:rFonts w:ascii="Times New Roman" w:hAnsi="Times New Roman" w:eastAsia="Times New Roman"/>
                <w:b w:val="0"/>
                <w:i w:val="0"/>
                <w:sz w:val="22"/>
                <w:u w:val="none"/>
              </w:rPr>
              <w:t>The system shall allow a user to view and update their own profile details, including contact information, address, employment and income.</w:t>
            </w:r>
          </w:p>
        </w:tc>
      </w:tr>
      <w:tr>
        <w:tc>
          <w:tcPr>
            <w:tcW w:type="dxa" w:w="1361"/>
          </w:tcPr>
          <w:p>
            <w:pPr>
              <w:spacing w:line="240" w:lineRule="auto"/>
            </w:pPr>
            <w:r/>
            <w:r>
              <w:rPr>
                <w:rFonts w:ascii="Times New Roman" w:hAnsi="Times New Roman" w:eastAsia="Times New Roman"/>
                <w:b w:val="0"/>
                <w:i w:val="0"/>
                <w:sz w:val="22"/>
                <w:u w:val="none"/>
              </w:rPr>
              <w:t>FR-AUTH-06</w:t>
            </w:r>
          </w:p>
        </w:tc>
        <w:tc>
          <w:tcPr>
            <w:tcW w:type="dxa" w:w="1928"/>
          </w:tcPr>
          <w:p>
            <w:pPr>
              <w:spacing w:line="240" w:lineRule="auto"/>
            </w:pPr>
            <w:r/>
            <w:r>
              <w:rPr>
                <w:rFonts w:ascii="Times New Roman" w:hAnsi="Times New Roman" w:eastAsia="Times New Roman"/>
                <w:b w:val="0"/>
                <w:i w:val="0"/>
                <w:sz w:val="22"/>
                <w:u w:val="none"/>
              </w:rPr>
              <w:t>System</w:t>
            </w:r>
          </w:p>
        </w:tc>
        <w:tc>
          <w:tcPr>
            <w:tcW w:type="dxa" w:w="4932"/>
          </w:tcPr>
          <w:p>
            <w:pPr>
              <w:spacing w:line="240" w:lineRule="auto"/>
            </w:pPr>
            <w:r/>
            <w:r>
              <w:rPr>
                <w:rFonts w:ascii="Times New Roman" w:hAnsi="Times New Roman" w:eastAsia="Times New Roman"/>
                <w:b w:val="0"/>
                <w:i w:val="0"/>
                <w:sz w:val="22"/>
                <w:u w:val="none"/>
              </w:rPr>
              <w:t>The system shall restrict every user to the functions and data permitted for their assigned role (customer, staff or admin).</w:t>
            </w:r>
          </w:p>
        </w:tc>
      </w:tr>
      <w:tr>
        <w:tc>
          <w:tcPr>
            <w:tcW w:type="dxa" w:w="1361"/>
          </w:tcPr>
          <w:p>
            <w:pPr>
              <w:spacing w:line="240" w:lineRule="auto"/>
            </w:pPr>
            <w:r/>
            <w:r>
              <w:rPr>
                <w:rFonts w:ascii="Times New Roman" w:hAnsi="Times New Roman" w:eastAsia="Times New Roman"/>
                <w:b w:val="0"/>
                <w:i w:val="0"/>
                <w:sz w:val="22"/>
                <w:u w:val="none"/>
              </w:rPr>
              <w:t>FR-AUTH-07</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create, edit, suspend or remove a staff account.</w:t>
            </w:r>
          </w:p>
        </w:tc>
      </w:tr>
    </w:tbl>
    <w:p>
      <w:pPr>
        <w:spacing w:after="80"/>
      </w:pPr>
    </w:p>
    <w:p>
      <w:pPr>
        <w:keepNext/>
        <w:pageBreakBefore w:val="0"/>
        <w:spacing w:before="280" w:after="120"/>
        <w:jc w:val="left"/>
      </w:pPr>
      <w:r>
        <w:rPr>
          <w:rFonts w:ascii="Times New Roman" w:hAnsi="Times New Roman" w:eastAsia="Times New Roman"/>
          <w:b/>
          <w:i w:val="0"/>
          <w:sz w:val="26"/>
          <w:u w:val="none"/>
        </w:rPr>
        <w:t>4.3.1.2 Public Website and Self-Service Tools</w:t>
      </w:r>
    </w:p>
    <w:p>
      <w:pPr>
        <w:spacing w:after="120" w:line="360" w:lineRule="auto"/>
        <w:jc w:val="both"/>
      </w:pPr>
      <w:r>
        <w:rPr>
          <w:rFonts w:ascii="Times New Roman" w:hAnsi="Times New Roman" w:eastAsia="Times New Roman"/>
          <w:b w:val="0"/>
          <w:i w:val="0"/>
          <w:sz w:val="24"/>
          <w:u w:val="none"/>
        </w:rPr>
        <w:t>Covers what an unauthenticated visitor can see and do before they hold an account or a loan application.</w:t>
      </w:r>
    </w:p>
    <w:p>
      <w:pPr>
        <w:keepNext/>
        <w:spacing w:before="160" w:after="80"/>
      </w:pPr>
      <w:r>
        <w:rPr>
          <w:rFonts w:ascii="Times New Roman" w:hAnsi="Times New Roman" w:eastAsia="Times New Roman"/>
          <w:b/>
          <w:i w:val="0"/>
          <w:sz w:val="24"/>
          <w:u w:val="none"/>
        </w:rPr>
        <w:t>Table 3: Functional Requirements — Public Website and Self-Service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FR-PUB-01</w:t>
            </w:r>
          </w:p>
        </w:tc>
        <w:tc>
          <w:tcPr>
            <w:tcW w:type="dxa" w:w="1928"/>
          </w:tcPr>
          <w:p>
            <w:pPr>
              <w:spacing w:line="240" w:lineRule="auto"/>
            </w:pPr>
            <w:r/>
            <w:r>
              <w:rPr>
                <w:rFonts w:ascii="Times New Roman" w:hAnsi="Times New Roman" w:eastAsia="Times New Roman"/>
                <w:b w:val="0"/>
                <w:i w:val="0"/>
                <w:sz w:val="22"/>
                <w:u w:val="none"/>
              </w:rPr>
              <w:t>Visitor</w:t>
            </w:r>
          </w:p>
        </w:tc>
        <w:tc>
          <w:tcPr>
            <w:tcW w:type="dxa" w:w="4932"/>
          </w:tcPr>
          <w:p>
            <w:pPr>
              <w:spacing w:line="240" w:lineRule="auto"/>
            </w:pPr>
            <w:r/>
            <w:r>
              <w:rPr>
                <w:rFonts w:ascii="Times New Roman" w:hAnsi="Times New Roman" w:eastAsia="Times New Roman"/>
                <w:b w:val="0"/>
                <w:i w:val="0"/>
                <w:sz w:val="22"/>
                <w:u w:val="none"/>
              </w:rPr>
              <w:t>The system shall display general information about the bank and its loan products to an unauthenticated visitor.</w:t>
            </w:r>
          </w:p>
        </w:tc>
      </w:tr>
      <w:tr>
        <w:tc>
          <w:tcPr>
            <w:tcW w:type="dxa" w:w="1361"/>
          </w:tcPr>
          <w:p>
            <w:pPr>
              <w:spacing w:line="240" w:lineRule="auto"/>
            </w:pPr>
            <w:r/>
            <w:r>
              <w:rPr>
                <w:rFonts w:ascii="Times New Roman" w:hAnsi="Times New Roman" w:eastAsia="Times New Roman"/>
                <w:b w:val="0"/>
                <w:i w:val="0"/>
                <w:sz w:val="22"/>
                <w:u w:val="none"/>
              </w:rPr>
              <w:t>FR-PUB-02</w:t>
            </w:r>
          </w:p>
        </w:tc>
        <w:tc>
          <w:tcPr>
            <w:tcW w:type="dxa" w:w="1928"/>
          </w:tcPr>
          <w:p>
            <w:pPr>
              <w:spacing w:line="240" w:lineRule="auto"/>
            </w:pPr>
            <w:r/>
            <w:r>
              <w:rPr>
                <w:rFonts w:ascii="Times New Roman" w:hAnsi="Times New Roman" w:eastAsia="Times New Roman"/>
                <w:b w:val="0"/>
                <w:i w:val="0"/>
                <w:sz w:val="22"/>
                <w:u w:val="none"/>
              </w:rPr>
              <w:t>Visitor</w:t>
            </w:r>
          </w:p>
        </w:tc>
        <w:tc>
          <w:tcPr>
            <w:tcW w:type="dxa" w:w="4932"/>
          </w:tcPr>
          <w:p>
            <w:pPr>
              <w:spacing w:line="240" w:lineRule="auto"/>
            </w:pPr>
            <w:r/>
            <w:r>
              <w:rPr>
                <w:rFonts w:ascii="Times New Roman" w:hAnsi="Times New Roman" w:eastAsia="Times New Roman"/>
                <w:b w:val="0"/>
                <w:i w:val="0"/>
                <w:sz w:val="22"/>
                <w:u w:val="none"/>
              </w:rPr>
              <w:t>The system shall provide a Frequently Asked Questions page, maintained by staff or admin.</w:t>
            </w:r>
          </w:p>
        </w:tc>
      </w:tr>
      <w:tr>
        <w:tc>
          <w:tcPr>
            <w:tcW w:type="dxa" w:w="1361"/>
          </w:tcPr>
          <w:p>
            <w:pPr>
              <w:spacing w:line="240" w:lineRule="auto"/>
            </w:pPr>
            <w:r/>
            <w:r>
              <w:rPr>
                <w:rFonts w:ascii="Times New Roman" w:hAnsi="Times New Roman" w:eastAsia="Times New Roman"/>
                <w:b w:val="0"/>
                <w:i w:val="0"/>
                <w:sz w:val="22"/>
                <w:u w:val="none"/>
              </w:rPr>
              <w:t>FR-PUB-03</w:t>
            </w:r>
          </w:p>
        </w:tc>
        <w:tc>
          <w:tcPr>
            <w:tcW w:type="dxa" w:w="1928"/>
          </w:tcPr>
          <w:p>
            <w:pPr>
              <w:spacing w:line="240" w:lineRule="auto"/>
            </w:pPr>
            <w:r/>
            <w:r>
              <w:rPr>
                <w:rFonts w:ascii="Times New Roman" w:hAnsi="Times New Roman" w:eastAsia="Times New Roman"/>
                <w:b w:val="0"/>
                <w:i w:val="0"/>
                <w:sz w:val="22"/>
                <w:u w:val="none"/>
              </w:rPr>
              <w:t>Visitor</w:t>
            </w:r>
          </w:p>
        </w:tc>
        <w:tc>
          <w:tcPr>
            <w:tcW w:type="dxa" w:w="4932"/>
          </w:tcPr>
          <w:p>
            <w:pPr>
              <w:spacing w:line="240" w:lineRule="auto"/>
            </w:pPr>
            <w:r/>
            <w:r>
              <w:rPr>
                <w:rFonts w:ascii="Times New Roman" w:hAnsi="Times New Roman" w:eastAsia="Times New Roman"/>
                <w:b w:val="0"/>
                <w:i w:val="0"/>
                <w:sz w:val="22"/>
                <w:u w:val="none"/>
              </w:rPr>
              <w:t>The system shall provide an EMI calculator that estimates the monthly instalment for a loan amount, interest rate and repayment period chosen by the visitor.</w:t>
            </w:r>
          </w:p>
        </w:tc>
      </w:tr>
      <w:tr>
        <w:tc>
          <w:tcPr>
            <w:tcW w:type="dxa" w:w="1361"/>
          </w:tcPr>
          <w:p>
            <w:pPr>
              <w:spacing w:line="240" w:lineRule="auto"/>
            </w:pPr>
            <w:r/>
            <w:r>
              <w:rPr>
                <w:rFonts w:ascii="Times New Roman" w:hAnsi="Times New Roman" w:eastAsia="Times New Roman"/>
                <w:b w:val="0"/>
                <w:i w:val="0"/>
                <w:sz w:val="22"/>
                <w:u w:val="none"/>
              </w:rPr>
              <w:t>FR-PUB-04</w:t>
            </w:r>
          </w:p>
        </w:tc>
        <w:tc>
          <w:tcPr>
            <w:tcW w:type="dxa" w:w="1928"/>
          </w:tcPr>
          <w:p>
            <w:pPr>
              <w:spacing w:line="240" w:lineRule="auto"/>
            </w:pPr>
            <w:r/>
            <w:r>
              <w:rPr>
                <w:rFonts w:ascii="Times New Roman" w:hAnsi="Times New Roman" w:eastAsia="Times New Roman"/>
                <w:b w:val="0"/>
                <w:i w:val="0"/>
                <w:sz w:val="22"/>
                <w:u w:val="none"/>
              </w:rPr>
              <w:t>Visitor</w:t>
            </w:r>
          </w:p>
        </w:tc>
        <w:tc>
          <w:tcPr>
            <w:tcW w:type="dxa" w:w="4932"/>
          </w:tcPr>
          <w:p>
            <w:pPr>
              <w:spacing w:line="240" w:lineRule="auto"/>
            </w:pPr>
            <w:r/>
            <w:r>
              <w:rPr>
                <w:rFonts w:ascii="Times New Roman" w:hAnsi="Times New Roman" w:eastAsia="Times New Roman"/>
                <w:b w:val="0"/>
                <w:i w:val="0"/>
                <w:sz w:val="22"/>
                <w:u w:val="none"/>
              </w:rPr>
              <w:t>The system shall provide a non-binding eligibility checker that estimates a visitor's likely risk category without creating or storing a real loan application.</w:t>
            </w:r>
          </w:p>
        </w:tc>
      </w:tr>
      <w:tr>
        <w:tc>
          <w:tcPr>
            <w:tcW w:type="dxa" w:w="1361"/>
          </w:tcPr>
          <w:p>
            <w:pPr>
              <w:spacing w:line="240" w:lineRule="auto"/>
            </w:pPr>
            <w:r/>
            <w:r>
              <w:rPr>
                <w:rFonts w:ascii="Times New Roman" w:hAnsi="Times New Roman" w:eastAsia="Times New Roman"/>
                <w:b w:val="0"/>
                <w:i w:val="0"/>
                <w:sz w:val="22"/>
                <w:u w:val="none"/>
              </w:rPr>
              <w:t>FR-PUB-05</w:t>
            </w:r>
          </w:p>
        </w:tc>
        <w:tc>
          <w:tcPr>
            <w:tcW w:type="dxa" w:w="1928"/>
          </w:tcPr>
          <w:p>
            <w:pPr>
              <w:spacing w:line="240" w:lineRule="auto"/>
            </w:pPr>
            <w:r/>
            <w:r>
              <w:rPr>
                <w:rFonts w:ascii="Times New Roman" w:hAnsi="Times New Roman" w:eastAsia="Times New Roman"/>
                <w:b w:val="0"/>
                <w:i w:val="0"/>
                <w:sz w:val="22"/>
                <w:u w:val="none"/>
              </w:rPr>
              <w:t>Visitor</w:t>
            </w:r>
          </w:p>
        </w:tc>
        <w:tc>
          <w:tcPr>
            <w:tcW w:type="dxa" w:w="4932"/>
          </w:tcPr>
          <w:p>
            <w:pPr>
              <w:spacing w:line="240" w:lineRule="auto"/>
            </w:pPr>
            <w:r/>
            <w:r>
              <w:rPr>
                <w:rFonts w:ascii="Times New Roman" w:hAnsi="Times New Roman" w:eastAsia="Times New Roman"/>
                <w:b w:val="0"/>
                <w:i w:val="0"/>
                <w:sz w:val="22"/>
                <w:u w:val="none"/>
              </w:rPr>
              <w:t>The system shall allow a visitor to submit a message through a public contact form, which is routed to staff or admin.</w:t>
            </w:r>
          </w:p>
        </w:tc>
      </w:tr>
    </w:tbl>
    <w:p>
      <w:pPr>
        <w:spacing w:after="80"/>
      </w:pPr>
    </w:p>
    <w:p>
      <w:pPr>
        <w:keepNext/>
        <w:pageBreakBefore w:val="0"/>
        <w:spacing w:before="280" w:after="120"/>
        <w:jc w:val="left"/>
      </w:pPr>
      <w:r>
        <w:rPr>
          <w:rFonts w:ascii="Times New Roman" w:hAnsi="Times New Roman" w:eastAsia="Times New Roman"/>
          <w:b/>
          <w:i w:val="0"/>
          <w:sz w:val="26"/>
          <w:u w:val="none"/>
        </w:rPr>
        <w:t>4.3.1.3 Loan Application and Data Capture</w:t>
      </w:r>
    </w:p>
    <w:p>
      <w:pPr>
        <w:spacing w:after="120" w:line="360" w:lineRule="auto"/>
        <w:jc w:val="both"/>
      </w:pPr>
      <w:r>
        <w:rPr>
          <w:rFonts w:ascii="Times New Roman" w:hAnsi="Times New Roman" w:eastAsia="Times New Roman"/>
          <w:b w:val="0"/>
          <w:i w:val="0"/>
          <w:sz w:val="24"/>
          <w:u w:val="none"/>
        </w:rPr>
        <w:t>Covers how a customer builds and submits a loan application, and tracks it while it is under review.</w:t>
      </w:r>
    </w:p>
    <w:p>
      <w:pPr>
        <w:keepNext/>
        <w:spacing w:before="160" w:after="80"/>
      </w:pPr>
      <w:r>
        <w:rPr>
          <w:rFonts w:ascii="Times New Roman" w:hAnsi="Times New Roman" w:eastAsia="Times New Roman"/>
          <w:b/>
          <w:i w:val="0"/>
          <w:sz w:val="24"/>
          <w:u w:val="none"/>
        </w:rPr>
        <w:t>Table 4: Functional Requirements — Loan Application and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FR-APP-01</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start a new loan application by selecting a loan product, amount, purpose and repayment period.</w:t>
            </w:r>
          </w:p>
        </w:tc>
      </w:tr>
      <w:tr>
        <w:tc>
          <w:tcPr>
            <w:tcW w:type="dxa" w:w="1361"/>
          </w:tcPr>
          <w:p>
            <w:pPr>
              <w:spacing w:line="240" w:lineRule="auto"/>
            </w:pPr>
            <w:r/>
            <w:r>
              <w:rPr>
                <w:rFonts w:ascii="Times New Roman" w:hAnsi="Times New Roman" w:eastAsia="Times New Roman"/>
                <w:b w:val="0"/>
                <w:i w:val="0"/>
                <w:sz w:val="22"/>
                <w:u w:val="none"/>
              </w:rPr>
              <w:t>FR-APP-02</w:t>
            </w:r>
          </w:p>
        </w:tc>
        <w:tc>
          <w:tcPr>
            <w:tcW w:type="dxa" w:w="1928"/>
          </w:tcPr>
          <w:p>
            <w:pPr>
              <w:spacing w:line="240" w:lineRule="auto"/>
            </w:pPr>
            <w:r/>
            <w:r>
              <w:rPr>
                <w:rFonts w:ascii="Times New Roman" w:hAnsi="Times New Roman" w:eastAsia="Times New Roman"/>
                <w:b w:val="0"/>
                <w:i w:val="0"/>
                <w:sz w:val="22"/>
                <w:u w:val="none"/>
              </w:rPr>
              <w:t>System</w:t>
            </w:r>
          </w:p>
        </w:tc>
        <w:tc>
          <w:tcPr>
            <w:tcW w:type="dxa" w:w="4932"/>
          </w:tcPr>
          <w:p>
            <w:pPr>
              <w:spacing w:line="240" w:lineRule="auto"/>
            </w:pPr>
            <w:r/>
            <w:r>
              <w:rPr>
                <w:rFonts w:ascii="Times New Roman" w:hAnsi="Times New Roman" w:eastAsia="Times New Roman"/>
                <w:b w:val="0"/>
                <w:i w:val="0"/>
                <w:sz w:val="22"/>
                <w:u w:val="none"/>
              </w:rPr>
              <w:t>The system shall pre-fill a new application with stable details from the customer's profile and their most recently submitted application, requiring only confirmation rather than re-entry.</w:t>
            </w:r>
          </w:p>
        </w:tc>
      </w:tr>
      <w:tr>
        <w:tc>
          <w:tcPr>
            <w:tcW w:type="dxa" w:w="1361"/>
          </w:tcPr>
          <w:p>
            <w:pPr>
              <w:spacing w:line="240" w:lineRule="auto"/>
            </w:pPr>
            <w:r/>
            <w:r>
              <w:rPr>
                <w:rFonts w:ascii="Times New Roman" w:hAnsi="Times New Roman" w:eastAsia="Times New Roman"/>
                <w:b w:val="0"/>
                <w:i w:val="0"/>
                <w:sz w:val="22"/>
                <w:u w:val="none"/>
              </w:rPr>
              <w:t>FR-APP-03</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declare a guarantor and/or pledge collateral against a loan application.</w:t>
            </w:r>
          </w:p>
        </w:tc>
      </w:tr>
      <w:tr>
        <w:tc>
          <w:tcPr>
            <w:tcW w:type="dxa" w:w="1361"/>
          </w:tcPr>
          <w:p>
            <w:pPr>
              <w:spacing w:line="240" w:lineRule="auto"/>
            </w:pPr>
            <w:r/>
            <w:r>
              <w:rPr>
                <w:rFonts w:ascii="Times New Roman" w:hAnsi="Times New Roman" w:eastAsia="Times New Roman"/>
                <w:b w:val="0"/>
                <w:i w:val="0"/>
                <w:sz w:val="22"/>
                <w:u w:val="none"/>
              </w:rPr>
              <w:t>FR-APP-04</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upload supporting documents as part of an application, and to re-upload a replacement if one is rejected.</w:t>
            </w:r>
          </w:p>
        </w:tc>
      </w:tr>
      <w:tr>
        <w:tc>
          <w:tcPr>
            <w:tcW w:type="dxa" w:w="1361"/>
          </w:tcPr>
          <w:p>
            <w:pPr>
              <w:spacing w:line="240" w:lineRule="auto"/>
            </w:pPr>
            <w:r/>
            <w:r>
              <w:rPr>
                <w:rFonts w:ascii="Times New Roman" w:hAnsi="Times New Roman" w:eastAsia="Times New Roman"/>
                <w:b w:val="0"/>
                <w:i w:val="0"/>
                <w:sz w:val="22"/>
                <w:u w:val="none"/>
              </w:rPr>
              <w:t>FR-APP-05</w:t>
            </w:r>
          </w:p>
        </w:tc>
        <w:tc>
          <w:tcPr>
            <w:tcW w:type="dxa" w:w="1928"/>
          </w:tcPr>
          <w:p>
            <w:pPr>
              <w:spacing w:line="240" w:lineRule="auto"/>
            </w:pPr>
            <w:r/>
            <w:r>
              <w:rPr>
                <w:rFonts w:ascii="Times New Roman" w:hAnsi="Times New Roman" w:eastAsia="Times New Roman"/>
                <w:b w:val="0"/>
                <w:i w:val="0"/>
                <w:sz w:val="22"/>
                <w:u w:val="none"/>
              </w:rPr>
              <w:t>System</w:t>
            </w:r>
          </w:p>
        </w:tc>
        <w:tc>
          <w:tcPr>
            <w:tcW w:type="dxa" w:w="4932"/>
          </w:tcPr>
          <w:p>
            <w:pPr>
              <w:spacing w:line="240" w:lineRule="auto"/>
            </w:pPr>
            <w:r/>
            <w:r>
              <w:rPr>
                <w:rFonts w:ascii="Times New Roman" w:hAnsi="Times New Roman" w:eastAsia="Times New Roman"/>
                <w:b w:val="0"/>
                <w:i w:val="0"/>
                <w:sz w:val="22"/>
                <w:u w:val="none"/>
              </w:rPr>
              <w:t>The system shall automatically save an in-progress application as a resumable draft if the customer does not complete it in one session.</w:t>
            </w:r>
          </w:p>
        </w:tc>
      </w:tr>
      <w:tr>
        <w:tc>
          <w:tcPr>
            <w:tcW w:type="dxa" w:w="1361"/>
          </w:tcPr>
          <w:p>
            <w:pPr>
              <w:spacing w:line="240" w:lineRule="auto"/>
            </w:pPr>
            <w:r/>
            <w:r>
              <w:rPr>
                <w:rFonts w:ascii="Times New Roman" w:hAnsi="Times New Roman" w:eastAsia="Times New Roman"/>
                <w:b w:val="0"/>
                <w:i w:val="0"/>
                <w:sz w:val="22"/>
                <w:u w:val="none"/>
              </w:rPr>
              <w:t>FR-APP-06</w:t>
            </w:r>
          </w:p>
        </w:tc>
        <w:tc>
          <w:tcPr>
            <w:tcW w:type="dxa" w:w="1928"/>
          </w:tcPr>
          <w:p>
            <w:pPr>
              <w:spacing w:line="240" w:lineRule="auto"/>
            </w:pPr>
            <w:r/>
            <w:r>
              <w:rPr>
                <w:rFonts w:ascii="Times New Roman" w:hAnsi="Times New Roman" w:eastAsia="Times New Roman"/>
                <w:b w:val="0"/>
                <w:i w:val="0"/>
                <w:sz w:val="22"/>
                <w:u w:val="none"/>
              </w:rPr>
              <w:t>Customer / System</w:t>
            </w:r>
          </w:p>
        </w:tc>
        <w:tc>
          <w:tcPr>
            <w:tcW w:type="dxa" w:w="4932"/>
          </w:tcPr>
          <w:p>
            <w:pPr>
              <w:spacing w:line="240" w:lineRule="auto"/>
            </w:pPr>
            <w:r/>
            <w:r>
              <w:rPr>
                <w:rFonts w:ascii="Times New Roman" w:hAnsi="Times New Roman" w:eastAsia="Times New Roman"/>
                <w:b w:val="0"/>
                <w:i w:val="0"/>
                <w:sz w:val="22"/>
                <w:u w:val="none"/>
              </w:rPr>
              <w:t>The system shall require the customer to give explicit, recorded consent to data processing and credit bureau checks before an application can be submitted, and shall not request consent again once it has been validly given.</w:t>
            </w:r>
          </w:p>
        </w:tc>
      </w:tr>
      <w:tr>
        <w:tc>
          <w:tcPr>
            <w:tcW w:type="dxa" w:w="1361"/>
          </w:tcPr>
          <w:p>
            <w:pPr>
              <w:spacing w:line="240" w:lineRule="auto"/>
            </w:pPr>
            <w:r/>
            <w:r>
              <w:rPr>
                <w:rFonts w:ascii="Times New Roman" w:hAnsi="Times New Roman" w:eastAsia="Times New Roman"/>
                <w:b w:val="0"/>
                <w:i w:val="0"/>
                <w:sz w:val="22"/>
                <w:u w:val="none"/>
              </w:rPr>
              <w:t>FR-APP-07</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withdraw their own application at any point before it reaches a final decision.</w:t>
            </w:r>
          </w:p>
        </w:tc>
      </w:tr>
      <w:tr>
        <w:tc>
          <w:tcPr>
            <w:tcW w:type="dxa" w:w="1361"/>
          </w:tcPr>
          <w:p>
            <w:pPr>
              <w:spacing w:line="240" w:lineRule="auto"/>
            </w:pPr>
            <w:r/>
            <w:r>
              <w:rPr>
                <w:rFonts w:ascii="Times New Roman" w:hAnsi="Times New Roman" w:eastAsia="Times New Roman"/>
                <w:b w:val="0"/>
                <w:i w:val="0"/>
                <w:sz w:val="22"/>
                <w:u w:val="none"/>
              </w:rPr>
              <w:t>FR-APP-08</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view the current status and complete status history of every application they have submitted.</w:t>
            </w:r>
          </w:p>
        </w:tc>
      </w:tr>
      <w:tr>
        <w:tc>
          <w:tcPr>
            <w:tcW w:type="dxa" w:w="1361"/>
          </w:tcPr>
          <w:p>
            <w:pPr>
              <w:spacing w:line="240" w:lineRule="auto"/>
            </w:pPr>
            <w:r/>
            <w:r>
              <w:rPr>
                <w:rFonts w:ascii="Times New Roman" w:hAnsi="Times New Roman" w:eastAsia="Times New Roman"/>
                <w:b w:val="0"/>
                <w:i w:val="0"/>
                <w:sz w:val="22"/>
                <w:u w:val="none"/>
              </w:rPr>
              <w:t>FR-APP-09</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respond directly within the system when staff request additional information, automatically returning the application to review.</w:t>
            </w:r>
          </w:p>
        </w:tc>
      </w:tr>
    </w:tbl>
    <w:p>
      <w:pPr>
        <w:spacing w:after="80"/>
      </w:pPr>
    </w:p>
    <w:p>
      <w:pPr>
        <w:keepNext/>
        <w:pageBreakBefore w:val="0"/>
        <w:spacing w:before="280" w:after="120"/>
        <w:jc w:val="left"/>
      </w:pPr>
      <w:r>
        <w:rPr>
          <w:rFonts w:ascii="Times New Roman" w:hAnsi="Times New Roman" w:eastAsia="Times New Roman"/>
          <w:b/>
          <w:i w:val="0"/>
          <w:sz w:val="26"/>
          <w:u w:val="none"/>
        </w:rPr>
        <w:t>4.3.1.4 Credit Risk Assessment and Decisioning</w:t>
      </w:r>
    </w:p>
    <w:p>
      <w:pPr>
        <w:spacing w:after="120" w:line="360" w:lineRule="auto"/>
        <w:jc w:val="both"/>
      </w:pPr>
      <w:r>
        <w:rPr>
          <w:rFonts w:ascii="Times New Roman" w:hAnsi="Times New Roman" w:eastAsia="Times New Roman"/>
          <w:b w:val="0"/>
          <w:i w:val="0"/>
          <w:sz w:val="24"/>
          <w:u w:val="none"/>
        </w:rPr>
        <w:t>Covers the machine learning classification, the deterministic policy and decision-matrix rules layered on top of it, and how a decision is explained and justified.</w:t>
      </w:r>
    </w:p>
    <w:p>
      <w:pPr>
        <w:keepNext/>
        <w:spacing w:before="160" w:after="80"/>
      </w:pPr>
      <w:r>
        <w:rPr>
          <w:rFonts w:ascii="Times New Roman" w:hAnsi="Times New Roman" w:eastAsia="Times New Roman"/>
          <w:b/>
          <w:i w:val="0"/>
          <w:sz w:val="24"/>
          <w:u w:val="none"/>
        </w:rPr>
        <w:t>Table 5: Functional Requirements — Credit Risk Assessment and Decisioning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FR-RISK-01</w:t>
            </w:r>
          </w:p>
        </w:tc>
        <w:tc>
          <w:tcPr>
            <w:tcW w:type="dxa" w:w="1928"/>
          </w:tcPr>
          <w:p>
            <w:pPr>
              <w:spacing w:line="240" w:lineRule="auto"/>
            </w:pPr>
            <w:r/>
            <w:r>
              <w:rPr>
                <w:rFonts w:ascii="Times New Roman" w:hAnsi="Times New Roman" w:eastAsia="Times New Roman"/>
                <w:b w:val="0"/>
                <w:i w:val="0"/>
                <w:sz w:val="22"/>
                <w:u w:val="none"/>
              </w:rPr>
              <w:t>System (ML Service)</w:t>
            </w:r>
          </w:p>
        </w:tc>
        <w:tc>
          <w:tcPr>
            <w:tcW w:type="dxa" w:w="4932"/>
          </w:tcPr>
          <w:p>
            <w:pPr>
              <w:spacing w:line="240" w:lineRule="auto"/>
            </w:pPr>
            <w:r/>
            <w:r>
              <w:rPr>
                <w:rFonts w:ascii="Times New Roman" w:hAnsi="Times New Roman" w:eastAsia="Times New Roman"/>
                <w:b w:val="0"/>
                <w:i w:val="0"/>
                <w:sz w:val="22"/>
                <w:u w:val="none"/>
              </w:rPr>
              <w:t>The system shall estimate a calibrated probability of default for a submitted loan application using a trained machine learning model, and derive a Low, Medium or High risk category from that probability.</w:t>
            </w:r>
          </w:p>
        </w:tc>
      </w:tr>
      <w:tr>
        <w:tc>
          <w:tcPr>
            <w:tcW w:type="dxa" w:w="1361"/>
          </w:tcPr>
          <w:p>
            <w:pPr>
              <w:spacing w:line="240" w:lineRule="auto"/>
            </w:pPr>
            <w:r/>
            <w:r>
              <w:rPr>
                <w:rFonts w:ascii="Times New Roman" w:hAnsi="Times New Roman" w:eastAsia="Times New Roman"/>
                <w:b w:val="0"/>
                <w:i w:val="0"/>
                <w:sz w:val="22"/>
                <w:u w:val="none"/>
              </w:rPr>
              <w:t>FR-RISK-02</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evaluate every application against a fixed, version-controlled credit policy, independently of the machine learning risk score.</w:t>
            </w:r>
          </w:p>
        </w:tc>
      </w:tr>
      <w:tr>
        <w:tc>
          <w:tcPr>
            <w:tcW w:type="dxa" w:w="1361"/>
          </w:tcPr>
          <w:p>
            <w:pPr>
              <w:spacing w:line="240" w:lineRule="auto"/>
            </w:pPr>
            <w:r/>
            <w:r>
              <w:rPr>
                <w:rFonts w:ascii="Times New Roman" w:hAnsi="Times New Roman" w:eastAsia="Times New Roman"/>
                <w:b w:val="0"/>
                <w:i w:val="0"/>
                <w:sz w:val="22"/>
                <w:u w:val="none"/>
              </w:rPr>
              <w:t>FR-RISK-03</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combine the risk category and the credit policy outcome into a single recommended action: auto-approve, refer for manual review, or auto-reject.</w:t>
            </w:r>
          </w:p>
        </w:tc>
      </w:tr>
      <w:tr>
        <w:tc>
          <w:tcPr>
            <w:tcW w:type="dxa" w:w="1361"/>
          </w:tcPr>
          <w:p>
            <w:pPr>
              <w:spacing w:line="240" w:lineRule="auto"/>
            </w:pPr>
            <w:r/>
            <w:r>
              <w:rPr>
                <w:rFonts w:ascii="Times New Roman" w:hAnsi="Times New Roman" w:eastAsia="Times New Roman"/>
                <w:b w:val="0"/>
                <w:i w:val="0"/>
                <w:sz w:val="22"/>
                <w:u w:val="none"/>
              </w:rPr>
              <w:t>FR-RISK-04</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automatically decide and record an application when the combined outcome is an auto-approve or auto-reject, while flagging the recommendation clearly to staff.</w:t>
            </w:r>
          </w:p>
        </w:tc>
      </w:tr>
      <w:tr>
        <w:tc>
          <w:tcPr>
            <w:tcW w:type="dxa" w:w="1361"/>
          </w:tcPr>
          <w:p>
            <w:pPr>
              <w:spacing w:line="240" w:lineRule="auto"/>
            </w:pPr>
            <w:r/>
            <w:r>
              <w:rPr>
                <w:rFonts w:ascii="Times New Roman" w:hAnsi="Times New Roman" w:eastAsia="Times New Roman"/>
                <w:b w:val="0"/>
                <w:i w:val="0"/>
                <w:sz w:val="22"/>
                <w:u w:val="none"/>
              </w:rPr>
              <w:t>FR-RISK-05</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generate a plain-language explanation of every risk decision using a generative AI model, with a deterministic fallback explanation if that service is unavailable.</w:t>
            </w:r>
          </w:p>
        </w:tc>
      </w:tr>
      <w:tr>
        <w:tc>
          <w:tcPr>
            <w:tcW w:type="dxa" w:w="1361"/>
          </w:tcPr>
          <w:p>
            <w:pPr>
              <w:spacing w:line="240" w:lineRule="auto"/>
            </w:pPr>
            <w:r/>
            <w:r>
              <w:rPr>
                <w:rFonts w:ascii="Times New Roman" w:hAnsi="Times New Roman" w:eastAsia="Times New Roman"/>
                <w:b w:val="0"/>
                <w:i w:val="0"/>
                <w:sz w:val="22"/>
                <w:u w:val="none"/>
              </w:rPr>
              <w:t>FR-RISK-06</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recommend a loan type, loan amount and monthly instalment appropriate to the applicant's risk category and financial position.</w:t>
            </w:r>
          </w:p>
        </w:tc>
      </w:tr>
      <w:tr>
        <w:tc>
          <w:tcPr>
            <w:tcW w:type="dxa" w:w="1361"/>
          </w:tcPr>
          <w:p>
            <w:pPr>
              <w:spacing w:line="240" w:lineRule="auto"/>
            </w:pPr>
            <w:r/>
            <w:r>
              <w:rPr>
                <w:rFonts w:ascii="Times New Roman" w:hAnsi="Times New Roman" w:eastAsia="Times New Roman"/>
                <w:b w:val="0"/>
                <w:i w:val="0"/>
                <w:sz w:val="22"/>
                <w:u w:val="none"/>
              </w:rPr>
              <w:t>FR-RISK-07</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price the applicant's interest rate within the loan product's configured range according to their risk category, where such a range has been configured.</w:t>
            </w:r>
          </w:p>
        </w:tc>
      </w:tr>
      <w:tr>
        <w:tc>
          <w:tcPr>
            <w:tcW w:type="dxa" w:w="1361"/>
          </w:tcPr>
          <w:p>
            <w:pPr>
              <w:spacing w:line="240" w:lineRule="auto"/>
            </w:pPr>
            <w:r/>
            <w:r>
              <w:rPr>
                <w:rFonts w:ascii="Times New Roman" w:hAnsi="Times New Roman" w:eastAsia="Times New Roman"/>
                <w:b w:val="0"/>
                <w:i w:val="0"/>
                <w:sz w:val="22"/>
                <w:u w:val="none"/>
              </w:rPr>
              <w:t>FR-RISK-08</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record a standardised, applicant-facing reason whenever an application is rejected, whether the rejection was automatic or made by a staff member.</w:t>
            </w:r>
          </w:p>
        </w:tc>
      </w:tr>
      <w:tr>
        <w:tc>
          <w:tcPr>
            <w:tcW w:type="dxa" w:w="1361"/>
          </w:tcPr>
          <w:p>
            <w:pPr>
              <w:spacing w:line="240" w:lineRule="auto"/>
            </w:pPr>
            <w:r/>
            <w:r>
              <w:rPr>
                <w:rFonts w:ascii="Times New Roman" w:hAnsi="Times New Roman" w:eastAsia="Times New Roman"/>
                <w:b w:val="0"/>
                <w:i w:val="0"/>
                <w:sz w:val="22"/>
                <w:u w:val="none"/>
              </w:rPr>
              <w:t>FR-RISK-09</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require a staff member to select a standardised reason and enter a written note whenever their decision differs from the system's recommendation.</w:t>
            </w:r>
          </w:p>
        </w:tc>
      </w:tr>
      <w:tr>
        <w:tc>
          <w:tcPr>
            <w:tcW w:type="dxa" w:w="1361"/>
          </w:tcPr>
          <w:p>
            <w:pPr>
              <w:spacing w:line="240" w:lineRule="auto"/>
            </w:pPr>
            <w:r/>
            <w:r>
              <w:rPr>
                <w:rFonts w:ascii="Times New Roman" w:hAnsi="Times New Roman" w:eastAsia="Times New Roman"/>
                <w:b w:val="0"/>
                <w:i w:val="0"/>
                <w:sz w:val="22"/>
                <w:u w:val="none"/>
              </w:rPr>
              <w:t>FR-RISK-10</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reopen a rejected application for further review, recording a reason for doing so.</w:t>
            </w:r>
          </w:p>
        </w:tc>
      </w:tr>
      <w:tr>
        <w:tc>
          <w:tcPr>
            <w:tcW w:type="dxa" w:w="1361"/>
          </w:tcPr>
          <w:p>
            <w:pPr>
              <w:spacing w:line="240" w:lineRule="auto"/>
            </w:pPr>
            <w:r/>
            <w:r>
              <w:rPr>
                <w:rFonts w:ascii="Times New Roman" w:hAnsi="Times New Roman" w:eastAsia="Times New Roman"/>
                <w:b w:val="0"/>
                <w:i w:val="0"/>
                <w:sz w:val="22"/>
                <w:u w:val="none"/>
              </w:rPr>
              <w:t>FR-RISK-11</w:t>
            </w:r>
          </w:p>
        </w:tc>
        <w:tc>
          <w:tcPr>
            <w:tcW w:type="dxa" w:w="1928"/>
          </w:tcPr>
          <w:p>
            <w:pPr>
              <w:spacing w:line="240" w:lineRule="auto"/>
            </w:pPr>
            <w:r/>
            <w:r>
              <w:rPr>
                <w:rFonts w:ascii="Times New Roman" w:hAnsi="Times New Roman" w:eastAsia="Times New Roman"/>
                <w:b w:val="0"/>
                <w:i w:val="0"/>
                <w:sz w:val="22"/>
                <w:u w:val="none"/>
              </w:rPr>
              <w:t>Staff / Admin</w:t>
            </w:r>
          </w:p>
        </w:tc>
        <w:tc>
          <w:tcPr>
            <w:tcW w:type="dxa" w:w="4932"/>
          </w:tcPr>
          <w:p>
            <w:pPr>
              <w:spacing w:line="240" w:lineRule="auto"/>
            </w:pPr>
            <w:r/>
            <w:r>
              <w:rPr>
                <w:rFonts w:ascii="Times New Roman" w:hAnsi="Times New Roman" w:eastAsia="Times New Roman"/>
                <w:b w:val="0"/>
                <w:i w:val="0"/>
                <w:sz w:val="22"/>
                <w:u w:val="none"/>
              </w:rPr>
              <w:t>The system shall allow staff or admin to run a standalone risk calculation for a hypothetical applicant without creating a real application.</w:t>
            </w:r>
          </w:p>
        </w:tc>
      </w:tr>
      <w:tr>
        <w:tc>
          <w:tcPr>
            <w:tcW w:type="dxa" w:w="1361"/>
          </w:tcPr>
          <w:p>
            <w:pPr>
              <w:spacing w:line="240" w:lineRule="auto"/>
            </w:pPr>
            <w:r/>
            <w:r>
              <w:rPr>
                <w:rFonts w:ascii="Times New Roman" w:hAnsi="Times New Roman" w:eastAsia="Times New Roman"/>
                <w:b w:val="0"/>
                <w:i w:val="0"/>
                <w:sz w:val="22"/>
                <w:u w:val="none"/>
              </w:rPr>
              <w:t>FR-RISK-12</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look up a nominated guarantor's total existing exposure across the bank before relying on them again.</w:t>
            </w:r>
          </w:p>
        </w:tc>
      </w:tr>
      <w:tr>
        <w:tc>
          <w:tcPr>
            <w:tcW w:type="dxa" w:w="1361"/>
          </w:tcPr>
          <w:p>
            <w:pPr>
              <w:spacing w:line="240" w:lineRule="auto"/>
            </w:pPr>
            <w:r/>
            <w:r>
              <w:rPr>
                <w:rFonts w:ascii="Times New Roman" w:hAnsi="Times New Roman" w:eastAsia="Times New Roman"/>
                <w:b w:val="0"/>
                <w:i w:val="0"/>
                <w:sz w:val="22"/>
                <w:u w:val="none"/>
              </w:rPr>
              <w:t>FR-RISK-13</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evaluate guarantor-reliability and collateral-coverage policy checks whenever a guarantor or collateral is declared on an application.</w:t>
            </w:r>
          </w:p>
        </w:tc>
      </w:tr>
      <w:tr>
        <w:tc>
          <w:tcPr>
            <w:tcW w:type="dxa" w:w="1361"/>
          </w:tcPr>
          <w:p>
            <w:pPr>
              <w:spacing w:line="240" w:lineRule="auto"/>
            </w:pPr>
            <w:r/>
            <w:r>
              <w:rPr>
                <w:rFonts w:ascii="Times New Roman" w:hAnsi="Times New Roman" w:eastAsia="Times New Roman"/>
                <w:b w:val="0"/>
                <w:i w:val="0"/>
                <w:sz w:val="22"/>
                <w:u w:val="none"/>
              </w:rPr>
              <w:t>FR-RISK-14</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incorporate a returning customer's own repayment record with the bank into their risk assessment, and shall represent any input the system genuinely has no information for as unknown rather than substituting an assumed value.</w:t>
            </w:r>
          </w:p>
        </w:tc>
      </w:tr>
      <w:tr>
        <w:tc>
          <w:tcPr>
            <w:tcW w:type="dxa" w:w="1361"/>
          </w:tcPr>
          <w:p>
            <w:pPr>
              <w:spacing w:line="240" w:lineRule="auto"/>
            </w:pPr>
            <w:r/>
            <w:r>
              <w:rPr>
                <w:rFonts w:ascii="Times New Roman" w:hAnsi="Times New Roman" w:eastAsia="Times New Roman"/>
                <w:b w:val="0"/>
                <w:i w:val="0"/>
                <w:sz w:val="22"/>
                <w:u w:val="none"/>
              </w:rPr>
              <w:t>FR-RISK-15</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detect when a self-declared credit-bureau score is inconsistent with other credit information already on the application, limit its influence on the assessment accordingly, and flag the inconsistency for staff review.</w:t>
            </w:r>
          </w:p>
        </w:tc>
      </w:tr>
    </w:tbl>
    <w:p>
      <w:pPr>
        <w:spacing w:after="80"/>
      </w:pPr>
    </w:p>
    <w:p>
      <w:pPr>
        <w:keepNext/>
        <w:pageBreakBefore w:val="0"/>
        <w:spacing w:before="280" w:after="120"/>
        <w:jc w:val="left"/>
      </w:pPr>
      <w:r>
        <w:rPr>
          <w:rFonts w:ascii="Times New Roman" w:hAnsi="Times New Roman" w:eastAsia="Times New Roman"/>
          <w:b/>
          <w:i w:val="0"/>
          <w:sz w:val="26"/>
          <w:u w:val="none"/>
        </w:rPr>
        <w:t>4.3.1.5 Loan Offers, Fees and Disbursement</w:t>
      </w:r>
    </w:p>
    <w:p>
      <w:pPr>
        <w:spacing w:after="120" w:line="360" w:lineRule="auto"/>
        <w:jc w:val="both"/>
      </w:pPr>
      <w:r>
        <w:rPr>
          <w:rFonts w:ascii="Times New Roman" w:hAnsi="Times New Roman" w:eastAsia="Times New Roman"/>
          <w:b w:val="0"/>
          <w:i w:val="0"/>
          <w:sz w:val="24"/>
          <w:u w:val="none"/>
        </w:rPr>
        <w:t>Covers what happens once an application is approved: the binding offer made to the customer, its cost, and how funds are paid out.</w:t>
      </w:r>
    </w:p>
    <w:p>
      <w:pPr>
        <w:keepNext/>
        <w:spacing w:before="160" w:after="80"/>
      </w:pPr>
      <w:r>
        <w:rPr>
          <w:rFonts w:ascii="Times New Roman" w:hAnsi="Times New Roman" w:eastAsia="Times New Roman"/>
          <w:b/>
          <w:i w:val="0"/>
          <w:sz w:val="24"/>
          <w:u w:val="none"/>
        </w:rPr>
        <w:t>Table 6: Functional Requirements — Loan Offers, Fees and Disbursement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FR-OFFER-01</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issue a formal loan offer once an application is approved, stating the amount, interest rate, instalment, total repayable and expiry date.</w:t>
            </w:r>
          </w:p>
        </w:tc>
      </w:tr>
      <w:tr>
        <w:tc>
          <w:tcPr>
            <w:tcW w:type="dxa" w:w="1361"/>
          </w:tcPr>
          <w:p>
            <w:pPr>
              <w:spacing w:line="240" w:lineRule="auto"/>
            </w:pPr>
            <w:r/>
            <w:r>
              <w:rPr>
                <w:rFonts w:ascii="Times New Roman" w:hAnsi="Times New Roman" w:eastAsia="Times New Roman"/>
                <w:b w:val="0"/>
                <w:i w:val="0"/>
                <w:sz w:val="22"/>
                <w:u w:val="none"/>
              </w:rPr>
              <w:t>FR-OFFER-02</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calculate and disclose, on every offer, any applicable fees, the net amount the customer will actually receive, and the effective annual percentage rate (APR) including those fees.</w:t>
            </w:r>
          </w:p>
        </w:tc>
      </w:tr>
      <w:tr>
        <w:tc>
          <w:tcPr>
            <w:tcW w:type="dxa" w:w="1361"/>
          </w:tcPr>
          <w:p>
            <w:pPr>
              <w:spacing w:line="240" w:lineRule="auto"/>
            </w:pPr>
            <w:r/>
            <w:r>
              <w:rPr>
                <w:rFonts w:ascii="Times New Roman" w:hAnsi="Times New Roman" w:eastAsia="Times New Roman"/>
                <w:b w:val="0"/>
                <w:i w:val="0"/>
                <w:sz w:val="22"/>
                <w:u w:val="none"/>
              </w:rPr>
              <w:t>FR-OFFER-03</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configure the fees charged on each loan product, without altering the fees already quoted on an existing offer.</w:t>
            </w:r>
          </w:p>
        </w:tc>
      </w:tr>
      <w:tr>
        <w:tc>
          <w:tcPr>
            <w:tcW w:type="dxa" w:w="1361"/>
          </w:tcPr>
          <w:p>
            <w:pPr>
              <w:spacing w:line="240" w:lineRule="auto"/>
            </w:pPr>
            <w:r/>
            <w:r>
              <w:rPr>
                <w:rFonts w:ascii="Times New Roman" w:hAnsi="Times New Roman" w:eastAsia="Times New Roman"/>
                <w:b w:val="0"/>
                <w:i w:val="0"/>
                <w:sz w:val="22"/>
                <w:u w:val="none"/>
              </w:rPr>
              <w:t>FR-OFFER-04</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waive an individual fee on a specific offer, provided a reason is recorded.</w:t>
            </w:r>
          </w:p>
        </w:tc>
      </w:tr>
      <w:tr>
        <w:tc>
          <w:tcPr>
            <w:tcW w:type="dxa" w:w="1361"/>
          </w:tcPr>
          <w:p>
            <w:pPr>
              <w:spacing w:line="240" w:lineRule="auto"/>
            </w:pPr>
            <w:r/>
            <w:r>
              <w:rPr>
                <w:rFonts w:ascii="Times New Roman" w:hAnsi="Times New Roman" w:eastAsia="Times New Roman"/>
                <w:b w:val="0"/>
                <w:i w:val="0"/>
                <w:sz w:val="22"/>
                <w:u w:val="none"/>
              </w:rPr>
              <w:t>FR-OFFER-05</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accept or decline a loan offer.</w:t>
            </w:r>
          </w:p>
        </w:tc>
      </w:tr>
      <w:tr>
        <w:tc>
          <w:tcPr>
            <w:tcW w:type="dxa" w:w="1361"/>
          </w:tcPr>
          <w:p>
            <w:pPr>
              <w:spacing w:line="240" w:lineRule="auto"/>
            </w:pPr>
            <w:r/>
            <w:r>
              <w:rPr>
                <w:rFonts w:ascii="Times New Roman" w:hAnsi="Times New Roman" w:eastAsia="Times New Roman"/>
                <w:b w:val="0"/>
                <w:i w:val="0"/>
                <w:sz w:val="22"/>
                <w:u w:val="none"/>
              </w:rPr>
              <w:t>FR-OFFER-06</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re-issue or renegotiate an offer on an already-approved application.</w:t>
            </w:r>
          </w:p>
        </w:tc>
      </w:tr>
      <w:tr>
        <w:tc>
          <w:tcPr>
            <w:tcW w:type="dxa" w:w="1361"/>
          </w:tcPr>
          <w:p>
            <w:pPr>
              <w:spacing w:line="240" w:lineRule="auto"/>
            </w:pPr>
            <w:r/>
            <w:r>
              <w:rPr>
                <w:rFonts w:ascii="Times New Roman" w:hAnsi="Times New Roman" w:eastAsia="Times New Roman"/>
                <w:b w:val="0"/>
                <w:i w:val="0"/>
                <w:sz w:val="22"/>
                <w:u w:val="none"/>
              </w:rPr>
              <w:t>FR-OFFER-07</w:t>
            </w:r>
          </w:p>
        </w:tc>
        <w:tc>
          <w:tcPr>
            <w:tcW w:type="dxa" w:w="1928"/>
          </w:tcPr>
          <w:p>
            <w:pPr>
              <w:spacing w:line="240" w:lineRule="auto"/>
            </w:pPr>
            <w:r/>
            <w:r>
              <w:rPr>
                <w:rFonts w:ascii="Times New Roman" w:hAnsi="Times New Roman" w:eastAsia="Times New Roman"/>
                <w:b w:val="0"/>
                <w:i w:val="0"/>
                <w:sz w:val="22"/>
                <w:u w:val="none"/>
              </w:rPr>
              <w:t>System (Backend) / Staff</w:t>
            </w:r>
          </w:p>
        </w:tc>
        <w:tc>
          <w:tcPr>
            <w:tcW w:type="dxa" w:w="4932"/>
          </w:tcPr>
          <w:p>
            <w:pPr>
              <w:spacing w:line="240" w:lineRule="auto"/>
            </w:pPr>
            <w:r/>
            <w:r>
              <w:rPr>
                <w:rFonts w:ascii="Times New Roman" w:hAnsi="Times New Roman" w:eastAsia="Times New Roman"/>
                <w:b w:val="0"/>
                <w:i w:val="0"/>
                <w:sz w:val="22"/>
                <w:u w:val="none"/>
              </w:rPr>
              <w:t>The system shall automatically open a bank account in the customer's name when an offer is accepted, or allow a staff member to register an existing account instead.</w:t>
            </w:r>
          </w:p>
        </w:tc>
      </w:tr>
      <w:tr>
        <w:tc>
          <w:tcPr>
            <w:tcW w:type="dxa" w:w="1361"/>
          </w:tcPr>
          <w:p>
            <w:pPr>
              <w:spacing w:line="240" w:lineRule="auto"/>
            </w:pPr>
            <w:r/>
            <w:r>
              <w:rPr>
                <w:rFonts w:ascii="Times New Roman" w:hAnsi="Times New Roman" w:eastAsia="Times New Roman"/>
                <w:b w:val="0"/>
                <w:i w:val="0"/>
                <w:sz w:val="22"/>
                <w:u w:val="none"/>
              </w:rPr>
              <w:t>FR-OFFER-08</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mark an accepted offer as disbursed, activating the loan and its repayment schedule.</w:t>
            </w:r>
          </w:p>
        </w:tc>
      </w:tr>
    </w:tbl>
    <w:p>
      <w:pPr>
        <w:spacing w:after="80"/>
      </w:pPr>
    </w:p>
    <w:p>
      <w:pPr>
        <w:keepNext/>
        <w:pageBreakBefore w:val="0"/>
        <w:spacing w:before="280" w:after="120"/>
        <w:jc w:val="left"/>
      </w:pPr>
      <w:r>
        <w:rPr>
          <w:rFonts w:ascii="Times New Roman" w:hAnsi="Times New Roman" w:eastAsia="Times New Roman"/>
          <w:b/>
          <w:i w:val="0"/>
          <w:sz w:val="26"/>
          <w:u w:val="none"/>
        </w:rPr>
        <w:t>4.3.1.6 Loan Servicing and Repayment</w:t>
      </w:r>
    </w:p>
    <w:p>
      <w:pPr>
        <w:spacing w:after="120" w:line="360" w:lineRule="auto"/>
        <w:jc w:val="both"/>
      </w:pPr>
      <w:r>
        <w:rPr>
          <w:rFonts w:ascii="Times New Roman" w:hAnsi="Times New Roman" w:eastAsia="Times New Roman"/>
          <w:b w:val="0"/>
          <w:i w:val="0"/>
          <w:sz w:val="24"/>
          <w:u w:val="none"/>
        </w:rPr>
        <w:t>Covers a disbursed loan's entire repayment lifecycle, for both online customer-initiated and offline staff-recorded payments.</w:t>
      </w:r>
    </w:p>
    <w:p>
      <w:pPr>
        <w:keepNext/>
        <w:spacing w:before="160" w:after="80"/>
      </w:pPr>
      <w:r>
        <w:rPr>
          <w:rFonts w:ascii="Times New Roman" w:hAnsi="Times New Roman" w:eastAsia="Times New Roman"/>
          <w:b/>
          <w:i w:val="0"/>
          <w:sz w:val="24"/>
          <w:u w:val="none"/>
        </w:rPr>
        <w:t>Table 7: Functional Requirements — Loan Servicing and Repayment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FR-REPAY-01</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generate and display a full repayment schedule for a disbursed loan, showing every instalment's due date, principal/interest split and status.</w:t>
            </w:r>
          </w:p>
        </w:tc>
      </w:tr>
      <w:tr>
        <w:tc>
          <w:tcPr>
            <w:tcW w:type="dxa" w:w="1361"/>
          </w:tcPr>
          <w:p>
            <w:pPr>
              <w:spacing w:line="240" w:lineRule="auto"/>
            </w:pPr>
            <w:r/>
            <w:r>
              <w:rPr>
                <w:rFonts w:ascii="Times New Roman" w:hAnsi="Times New Roman" w:eastAsia="Times New Roman"/>
                <w:b w:val="0"/>
                <w:i w:val="0"/>
                <w:sz w:val="22"/>
                <w:u w:val="none"/>
              </w:rPr>
              <w:t>FR-REPAY-02</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calculate a customer's current outstanding balance and any arrears automatically from the repayment schedule.</w:t>
            </w:r>
          </w:p>
        </w:tc>
      </w:tr>
      <w:tr>
        <w:tc>
          <w:tcPr>
            <w:tcW w:type="dxa" w:w="1361"/>
          </w:tcPr>
          <w:p>
            <w:pPr>
              <w:spacing w:line="240" w:lineRule="auto"/>
            </w:pPr>
            <w:r/>
            <w:r>
              <w:rPr>
                <w:rFonts w:ascii="Times New Roman" w:hAnsi="Times New Roman" w:eastAsia="Times New Roman"/>
                <w:b w:val="0"/>
                <w:i w:val="0"/>
                <w:sz w:val="22"/>
                <w:u w:val="none"/>
              </w:rPr>
              <w:t>FR-REPAY-03</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calculate an up-to-date early-settlement figure, including any interest saving, on request.</w:t>
            </w:r>
          </w:p>
        </w:tc>
      </w:tr>
      <w:tr>
        <w:tc>
          <w:tcPr>
            <w:tcW w:type="dxa" w:w="1361"/>
          </w:tcPr>
          <w:p>
            <w:pPr>
              <w:spacing w:line="240" w:lineRule="auto"/>
            </w:pPr>
            <w:r/>
            <w:r>
              <w:rPr>
                <w:rFonts w:ascii="Times New Roman" w:hAnsi="Times New Roman" w:eastAsia="Times New Roman"/>
                <w:b w:val="0"/>
                <w:i w:val="0"/>
                <w:sz w:val="22"/>
                <w:u w:val="none"/>
              </w:rPr>
              <w:t>FR-REPAY-04</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make an online card repayment — the next instalment, a full settlement, or a custom amount — through an integrated payment gateway.</w:t>
            </w:r>
          </w:p>
        </w:tc>
      </w:tr>
      <w:tr>
        <w:tc>
          <w:tcPr>
            <w:tcW w:type="dxa" w:w="1361"/>
          </w:tcPr>
          <w:p>
            <w:pPr>
              <w:spacing w:line="240" w:lineRule="auto"/>
            </w:pPr>
            <w:r/>
            <w:r>
              <w:rPr>
                <w:rFonts w:ascii="Times New Roman" w:hAnsi="Times New Roman" w:eastAsia="Times New Roman"/>
                <w:b w:val="0"/>
                <w:i w:val="0"/>
                <w:sz w:val="22"/>
                <w:u w:val="none"/>
              </w:rPr>
              <w:t>FR-REPAY-05</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determine the amount owed from the loan's own records rather than from a value submitted by the customer.</w:t>
            </w:r>
          </w:p>
        </w:tc>
      </w:tr>
      <w:tr>
        <w:tc>
          <w:tcPr>
            <w:tcW w:type="dxa" w:w="1361"/>
          </w:tcPr>
          <w:p>
            <w:pPr>
              <w:spacing w:line="240" w:lineRule="auto"/>
            </w:pPr>
            <w:r/>
            <w:r>
              <w:rPr>
                <w:rFonts w:ascii="Times New Roman" w:hAnsi="Times New Roman" w:eastAsia="Times New Roman"/>
                <w:b w:val="0"/>
                <w:i w:val="0"/>
                <w:sz w:val="22"/>
                <w:u w:val="none"/>
              </w:rPr>
              <w:t>FR-REPAY-06</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record an offline repayment made by cash, transfer, cheque or standing order.</w:t>
            </w:r>
          </w:p>
        </w:tc>
      </w:tr>
      <w:tr>
        <w:tc>
          <w:tcPr>
            <w:tcW w:type="dxa" w:w="1361"/>
          </w:tcPr>
          <w:p>
            <w:pPr>
              <w:spacing w:line="240" w:lineRule="auto"/>
            </w:pPr>
            <w:r/>
            <w:r>
              <w:rPr>
                <w:rFonts w:ascii="Times New Roman" w:hAnsi="Times New Roman" w:eastAsia="Times New Roman"/>
                <w:b w:val="0"/>
                <w:i w:val="0"/>
                <w:sz w:val="22"/>
                <w:u w:val="none"/>
              </w:rPr>
              <w:t>FR-REPAY-07</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automatically allocate every payment, online or offline, to the oldest outstanding instalment first, and split it between fees, interest and principal using one shared allocation engine.</w:t>
            </w:r>
          </w:p>
        </w:tc>
      </w:tr>
      <w:tr>
        <w:tc>
          <w:tcPr>
            <w:tcW w:type="dxa" w:w="1361"/>
          </w:tcPr>
          <w:p>
            <w:pPr>
              <w:spacing w:line="240" w:lineRule="auto"/>
            </w:pPr>
            <w:r/>
            <w:r>
              <w:rPr>
                <w:rFonts w:ascii="Times New Roman" w:hAnsi="Times New Roman" w:eastAsia="Times New Roman"/>
                <w:b w:val="0"/>
                <w:i w:val="0"/>
                <w:sz w:val="22"/>
                <w:u w:val="none"/>
              </w:rPr>
              <w:t>FR-REPAY-08</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waive an outstanding late fee, provided a reason is recorded.</w:t>
            </w:r>
          </w:p>
        </w:tc>
      </w:tr>
      <w:tr>
        <w:tc>
          <w:tcPr>
            <w:tcW w:type="dxa" w:w="1361"/>
          </w:tcPr>
          <w:p>
            <w:pPr>
              <w:spacing w:line="240" w:lineRule="auto"/>
            </w:pPr>
            <w:r/>
            <w:r>
              <w:rPr>
                <w:rFonts w:ascii="Times New Roman" w:hAnsi="Times New Roman" w:eastAsia="Times New Roman"/>
                <w:b w:val="0"/>
                <w:i w:val="0"/>
                <w:sz w:val="22"/>
                <w:u w:val="none"/>
              </w:rPr>
              <w:t>FR-REPAY-09</w:t>
            </w:r>
          </w:p>
        </w:tc>
        <w:tc>
          <w:tcPr>
            <w:tcW w:type="dxa" w:w="1928"/>
          </w:tcPr>
          <w:p>
            <w:pPr>
              <w:spacing w:line="240" w:lineRule="auto"/>
            </w:pPr>
            <w:r/>
            <w:r>
              <w:rPr>
                <w:rFonts w:ascii="Times New Roman" w:hAnsi="Times New Roman" w:eastAsia="Times New Roman"/>
                <w:b w:val="0"/>
                <w:i w:val="0"/>
                <w:sz w:val="22"/>
                <w:u w:val="none"/>
              </w:rPr>
              <w:t>Customer / Staff</w:t>
            </w:r>
          </w:p>
        </w:tc>
        <w:tc>
          <w:tcPr>
            <w:tcW w:type="dxa" w:w="4932"/>
          </w:tcPr>
          <w:p>
            <w:pPr>
              <w:spacing w:line="240" w:lineRule="auto"/>
            </w:pPr>
            <w:r/>
            <w:r>
              <w:rPr>
                <w:rFonts w:ascii="Times New Roman" w:hAnsi="Times New Roman" w:eastAsia="Times New Roman"/>
                <w:b w:val="0"/>
                <w:i w:val="0"/>
                <w:sz w:val="22"/>
                <w:u w:val="none"/>
              </w:rPr>
              <w:t>The system shall generate a downloadable PDF receipt for any payment, and a downloadable loan statement for any loan.</w:t>
            </w:r>
          </w:p>
        </w:tc>
      </w:tr>
      <w:tr>
        <w:tc>
          <w:tcPr>
            <w:tcW w:type="dxa" w:w="1361"/>
          </w:tcPr>
          <w:p>
            <w:pPr>
              <w:spacing w:line="240" w:lineRule="auto"/>
            </w:pPr>
            <w:r/>
            <w:r>
              <w:rPr>
                <w:rFonts w:ascii="Times New Roman" w:hAnsi="Times New Roman" w:eastAsia="Times New Roman"/>
                <w:b w:val="0"/>
                <w:i w:val="0"/>
                <w:sz w:val="22"/>
                <w:u w:val="none"/>
              </w:rPr>
              <w:t>FR-REPAY-10</w:t>
            </w:r>
          </w:p>
        </w:tc>
        <w:tc>
          <w:tcPr>
            <w:tcW w:type="dxa" w:w="1928"/>
          </w:tcPr>
          <w:p>
            <w:pPr>
              <w:spacing w:line="240" w:lineRule="auto"/>
            </w:pPr>
            <w:r/>
            <w:r>
              <w:rPr>
                <w:rFonts w:ascii="Times New Roman" w:hAnsi="Times New Roman" w:eastAsia="Times New Roman"/>
                <w:b w:val="0"/>
                <w:i w:val="0"/>
                <w:sz w:val="22"/>
                <w:u w:val="none"/>
              </w:rPr>
              <w:t>Customer / Staff</w:t>
            </w:r>
          </w:p>
        </w:tc>
        <w:tc>
          <w:tcPr>
            <w:tcW w:type="dxa" w:w="4932"/>
          </w:tcPr>
          <w:p>
            <w:pPr>
              <w:spacing w:line="240" w:lineRule="auto"/>
            </w:pPr>
            <w:r/>
            <w:r>
              <w:rPr>
                <w:rFonts w:ascii="Times New Roman" w:hAnsi="Times New Roman" w:eastAsia="Times New Roman"/>
                <w:b w:val="0"/>
                <w:i w:val="0"/>
                <w:sz w:val="22"/>
                <w:u w:val="none"/>
              </w:rPr>
              <w:t>The system shall allow a customer or staff member to view the full payment history of a loan.</w:t>
            </w:r>
          </w:p>
        </w:tc>
      </w:tr>
    </w:tbl>
    <w:p>
      <w:pPr>
        <w:spacing w:after="80"/>
      </w:pPr>
    </w:p>
    <w:p>
      <w:pPr>
        <w:keepNext/>
        <w:pageBreakBefore w:val="0"/>
        <w:spacing w:before="280" w:after="120"/>
        <w:jc w:val="left"/>
      </w:pPr>
      <w:r>
        <w:rPr>
          <w:rFonts w:ascii="Times New Roman" w:hAnsi="Times New Roman" w:eastAsia="Times New Roman"/>
          <w:b/>
          <w:i w:val="0"/>
          <w:sz w:val="26"/>
          <w:u w:val="none"/>
        </w:rPr>
        <w:t>4.3.1.7 Document, Identity and Security Management</w:t>
      </w:r>
    </w:p>
    <w:p>
      <w:pPr>
        <w:spacing w:after="120" w:line="360" w:lineRule="auto"/>
        <w:jc w:val="both"/>
      </w:pPr>
      <w:r>
        <w:rPr>
          <w:rFonts w:ascii="Times New Roman" w:hAnsi="Times New Roman" w:eastAsia="Times New Roman"/>
          <w:b w:val="0"/>
          <w:i w:val="0"/>
          <w:sz w:val="24"/>
          <w:u w:val="none"/>
        </w:rPr>
        <w:t>Covers identity verification and the handling of the supporting evidence a lending decision relies on.</w:t>
      </w:r>
    </w:p>
    <w:p>
      <w:pPr>
        <w:keepNext/>
        <w:spacing w:before="160" w:after="80"/>
      </w:pPr>
      <w:r>
        <w:rPr>
          <w:rFonts w:ascii="Times New Roman" w:hAnsi="Times New Roman" w:eastAsia="Times New Roman"/>
          <w:b/>
          <w:i w:val="0"/>
          <w:sz w:val="24"/>
          <w:u w:val="none"/>
        </w:rPr>
        <w:t>Table 8: Functional Requirements — Document, Identity and Security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FR-KYC-01</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submit their National Identity Card (NIC) number for verification.</w:t>
            </w:r>
          </w:p>
        </w:tc>
      </w:tr>
      <w:tr>
        <w:tc>
          <w:tcPr>
            <w:tcW w:type="dxa" w:w="1361"/>
          </w:tcPr>
          <w:p>
            <w:pPr>
              <w:spacing w:line="240" w:lineRule="auto"/>
            </w:pPr>
            <w:r/>
            <w:r>
              <w:rPr>
                <w:rFonts w:ascii="Times New Roman" w:hAnsi="Times New Roman" w:eastAsia="Times New Roman"/>
                <w:b w:val="0"/>
                <w:i w:val="0"/>
                <w:sz w:val="22"/>
                <w:u w:val="none"/>
              </w:rPr>
              <w:t>FR-KYC-02</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verify or reject a customer's submitted identity, an uploaded document, or pledged collateral, recording a reason for any rejection.</w:t>
            </w:r>
          </w:p>
        </w:tc>
      </w:tr>
      <w:tr>
        <w:tc>
          <w:tcPr>
            <w:tcW w:type="dxa" w:w="1361"/>
          </w:tcPr>
          <w:p>
            <w:pPr>
              <w:spacing w:line="240" w:lineRule="auto"/>
            </w:pPr>
            <w:r/>
            <w:r>
              <w:rPr>
                <w:rFonts w:ascii="Times New Roman" w:hAnsi="Times New Roman" w:eastAsia="Times New Roman"/>
                <w:b w:val="0"/>
                <w:i w:val="0"/>
                <w:sz w:val="22"/>
                <w:u w:val="none"/>
              </w:rPr>
              <w:t>FR-KYC-03</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prevent a verified NIC from being silently changed once it has been verified.</w:t>
            </w:r>
          </w:p>
        </w:tc>
      </w:tr>
      <w:tr>
        <w:tc>
          <w:tcPr>
            <w:tcW w:type="dxa" w:w="1361"/>
          </w:tcPr>
          <w:p>
            <w:pPr>
              <w:spacing w:line="240" w:lineRule="auto"/>
            </w:pPr>
            <w:r/>
            <w:r>
              <w:rPr>
                <w:rFonts w:ascii="Times New Roman" w:hAnsi="Times New Roman" w:eastAsia="Times New Roman"/>
                <w:b w:val="0"/>
                <w:i w:val="0"/>
                <w:sz w:val="22"/>
                <w:u w:val="none"/>
              </w:rPr>
              <w:t>FR-KYC-04</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keep uploaded identity and financial documents in non-public storage, accessible only to the customer who owns them and to authorised staff or admin.</w:t>
            </w:r>
          </w:p>
        </w:tc>
      </w:tr>
    </w:tbl>
    <w:p>
      <w:pPr>
        <w:spacing w:after="80"/>
      </w:pPr>
    </w:p>
    <w:p>
      <w:pPr>
        <w:keepNext/>
        <w:pageBreakBefore w:val="0"/>
        <w:spacing w:before="280" w:after="120"/>
        <w:jc w:val="left"/>
      </w:pPr>
      <w:r>
        <w:rPr>
          <w:rFonts w:ascii="Times New Roman" w:hAnsi="Times New Roman" w:eastAsia="Times New Roman"/>
          <w:b/>
          <w:i w:val="0"/>
          <w:sz w:val="26"/>
          <w:u w:val="none"/>
        </w:rPr>
        <w:t>4.3.1.8 Currency Exchange and FX Operations</w:t>
      </w:r>
    </w:p>
    <w:p>
      <w:pPr>
        <w:spacing w:after="120" w:line="360" w:lineRule="auto"/>
        <w:jc w:val="both"/>
      </w:pPr>
      <w:r>
        <w:rPr>
          <w:rFonts w:ascii="Times New Roman" w:hAnsi="Times New Roman" w:eastAsia="Times New Roman"/>
          <w:b w:val="0"/>
          <w:i w:val="0"/>
          <w:sz w:val="24"/>
          <w:u w:val="none"/>
        </w:rPr>
        <w:t>Covers the customer-facing exchange workflow, the staff review queue, and the admin configuration and reporting around it.</w:t>
      </w:r>
    </w:p>
    <w:p>
      <w:pPr>
        <w:keepNext/>
        <w:spacing w:before="160" w:after="80"/>
      </w:pPr>
      <w:r>
        <w:rPr>
          <w:rFonts w:ascii="Times New Roman" w:hAnsi="Times New Roman" w:eastAsia="Times New Roman"/>
          <w:b/>
          <w:i w:val="0"/>
          <w:sz w:val="24"/>
          <w:u w:val="none"/>
        </w:rPr>
        <w:t>Table 9: Functional Requirements — Currency Exchange and FX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FR-FX-01</w:t>
            </w:r>
          </w:p>
        </w:tc>
        <w:tc>
          <w:tcPr>
            <w:tcW w:type="dxa" w:w="1928"/>
          </w:tcPr>
          <w:p>
            <w:pPr>
              <w:spacing w:line="240" w:lineRule="auto"/>
            </w:pPr>
            <w:r/>
            <w:r>
              <w:rPr>
                <w:rFonts w:ascii="Times New Roman" w:hAnsi="Times New Roman" w:eastAsia="Times New Roman"/>
                <w:b w:val="0"/>
                <w:i w:val="0"/>
                <w:sz w:val="22"/>
                <w:u w:val="none"/>
              </w:rPr>
              <w:t>Customer / Staff / Admin</w:t>
            </w:r>
          </w:p>
        </w:tc>
        <w:tc>
          <w:tcPr>
            <w:tcW w:type="dxa" w:w="4932"/>
          </w:tcPr>
          <w:p>
            <w:pPr>
              <w:spacing w:line="240" w:lineRule="auto"/>
            </w:pPr>
            <w:r/>
            <w:r>
              <w:rPr>
                <w:rFonts w:ascii="Times New Roman" w:hAnsi="Times New Roman" w:eastAsia="Times New Roman"/>
                <w:b w:val="0"/>
                <w:i w:val="0"/>
                <w:sz w:val="22"/>
                <w:u w:val="none"/>
              </w:rPr>
              <w:t>The system shall display live, regularly refreshed foreign exchange buy/sell rates to any logged-in user.</w:t>
            </w:r>
          </w:p>
        </w:tc>
      </w:tr>
      <w:tr>
        <w:tc>
          <w:tcPr>
            <w:tcW w:type="dxa" w:w="1361"/>
          </w:tcPr>
          <w:p>
            <w:pPr>
              <w:spacing w:line="240" w:lineRule="auto"/>
            </w:pPr>
            <w:r/>
            <w:r>
              <w:rPr>
                <w:rFonts w:ascii="Times New Roman" w:hAnsi="Times New Roman" w:eastAsia="Times New Roman"/>
                <w:b w:val="0"/>
                <w:i w:val="0"/>
                <w:sz w:val="22"/>
                <w:u w:val="none"/>
              </w:rPr>
              <w:t>FR-FX-02</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request a locked, time-limited exchange quote, specifying either the foreign-currency amount or the equivalent LKR amount.</w:t>
            </w:r>
          </w:p>
        </w:tc>
      </w:tr>
      <w:tr>
        <w:tc>
          <w:tcPr>
            <w:tcW w:type="dxa" w:w="1361"/>
          </w:tcPr>
          <w:p>
            <w:pPr>
              <w:spacing w:line="240" w:lineRule="auto"/>
            </w:pPr>
            <w:r/>
            <w:r>
              <w:rPr>
                <w:rFonts w:ascii="Times New Roman" w:hAnsi="Times New Roman" w:eastAsia="Times New Roman"/>
                <w:b w:val="0"/>
                <w:i w:val="0"/>
                <w:sz w:val="22"/>
                <w:u w:val="none"/>
              </w:rPr>
              <w:t>FR-FX-03</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show a customer the remaining transaction/daily allowance and any documentation requirement before they submit an exchange request.</w:t>
            </w:r>
          </w:p>
        </w:tc>
      </w:tr>
      <w:tr>
        <w:tc>
          <w:tcPr>
            <w:tcW w:type="dxa" w:w="1361"/>
          </w:tcPr>
          <w:p>
            <w:pPr>
              <w:spacing w:line="240" w:lineRule="auto"/>
            </w:pPr>
            <w:r/>
            <w:r>
              <w:rPr>
                <w:rFonts w:ascii="Times New Roman" w:hAnsi="Times New Roman" w:eastAsia="Times New Roman"/>
                <w:b w:val="0"/>
                <w:i w:val="0"/>
                <w:sz w:val="22"/>
                <w:u w:val="none"/>
              </w:rPr>
              <w:t>FR-FX-04</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submit an exchange request against a quote, upload supporting documents where required, and track it through to settlement.</w:t>
            </w:r>
          </w:p>
        </w:tc>
      </w:tr>
      <w:tr>
        <w:tc>
          <w:tcPr>
            <w:tcW w:type="dxa" w:w="1361"/>
          </w:tcPr>
          <w:p>
            <w:pPr>
              <w:spacing w:line="240" w:lineRule="auto"/>
            </w:pPr>
            <w:r/>
            <w:r>
              <w:rPr>
                <w:rFonts w:ascii="Times New Roman" w:hAnsi="Times New Roman" w:eastAsia="Times New Roman"/>
                <w:b w:val="0"/>
                <w:i w:val="0"/>
                <w:sz w:val="22"/>
                <w:u w:val="none"/>
              </w:rPr>
              <w:t>FR-FX-05</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cancel their own exchange request while it is still pending review.</w:t>
            </w:r>
          </w:p>
        </w:tc>
      </w:tr>
      <w:tr>
        <w:tc>
          <w:tcPr>
            <w:tcW w:type="dxa" w:w="1361"/>
          </w:tcPr>
          <w:p>
            <w:pPr>
              <w:spacing w:line="240" w:lineRule="auto"/>
            </w:pPr>
            <w:r/>
            <w:r>
              <w:rPr>
                <w:rFonts w:ascii="Times New Roman" w:hAnsi="Times New Roman" w:eastAsia="Times New Roman"/>
                <w:b w:val="0"/>
                <w:i w:val="0"/>
                <w:sz w:val="22"/>
                <w:u w:val="none"/>
              </w:rPr>
              <w:t>FR-FX-06</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a staff member to approve, reject, or counter-offer a pending exchange request, and to settle an approved request.</w:t>
            </w:r>
          </w:p>
        </w:tc>
      </w:tr>
      <w:tr>
        <w:tc>
          <w:tcPr>
            <w:tcW w:type="dxa" w:w="1361"/>
          </w:tcPr>
          <w:p>
            <w:pPr>
              <w:spacing w:line="240" w:lineRule="auto"/>
            </w:pPr>
            <w:r/>
            <w:r>
              <w:rPr>
                <w:rFonts w:ascii="Times New Roman" w:hAnsi="Times New Roman" w:eastAsia="Times New Roman"/>
                <w:b w:val="0"/>
                <w:i w:val="0"/>
                <w:sz w:val="22"/>
                <w:u w:val="none"/>
              </w:rPr>
              <w:t>FR-FX-07</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reserve the requested currency from the bank's inventory at approval, and release or consume it at rejection or settlement.</w:t>
            </w:r>
          </w:p>
        </w:tc>
      </w:tr>
      <w:tr>
        <w:tc>
          <w:tcPr>
            <w:tcW w:type="dxa" w:w="1361"/>
          </w:tcPr>
          <w:p>
            <w:pPr>
              <w:spacing w:line="240" w:lineRule="auto"/>
            </w:pPr>
            <w:r/>
            <w:r>
              <w:rPr>
                <w:rFonts w:ascii="Times New Roman" w:hAnsi="Times New Roman" w:eastAsia="Times New Roman"/>
                <w:b w:val="0"/>
                <w:i w:val="0"/>
                <w:sz w:val="22"/>
                <w:u w:val="none"/>
              </w:rPr>
              <w:t>FR-FX-08</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activate or deactivate currencies, and to configure spreads, transaction/daily limits and the documentation threshold.</w:t>
            </w:r>
          </w:p>
        </w:tc>
      </w:tr>
      <w:tr>
        <w:tc>
          <w:tcPr>
            <w:tcW w:type="dxa" w:w="1361"/>
          </w:tcPr>
          <w:p>
            <w:pPr>
              <w:spacing w:line="240" w:lineRule="auto"/>
            </w:pPr>
            <w:r/>
            <w:r>
              <w:rPr>
                <w:rFonts w:ascii="Times New Roman" w:hAnsi="Times New Roman" w:eastAsia="Times New Roman"/>
                <w:b w:val="0"/>
                <w:i w:val="0"/>
                <w:sz w:val="22"/>
                <w:u w:val="none"/>
              </w:rPr>
              <w:t>FR-FX-09</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view the bank's net foreign-currency position and to generate exchange activity reports over a chosen date range.</w:t>
            </w:r>
          </w:p>
        </w:tc>
      </w:tr>
      <w:tr>
        <w:tc>
          <w:tcPr>
            <w:tcW w:type="dxa" w:w="1361"/>
          </w:tcPr>
          <w:p>
            <w:pPr>
              <w:spacing w:line="240" w:lineRule="auto"/>
            </w:pPr>
            <w:r/>
            <w:r>
              <w:rPr>
                <w:rFonts w:ascii="Times New Roman" w:hAnsi="Times New Roman" w:eastAsia="Times New Roman"/>
                <w:b w:val="0"/>
                <w:i w:val="0"/>
                <w:sz w:val="22"/>
                <w:u w:val="none"/>
              </w:rPr>
              <w:t>FR-FX-10</w:t>
            </w:r>
          </w:p>
        </w:tc>
        <w:tc>
          <w:tcPr>
            <w:tcW w:type="dxa" w:w="1928"/>
          </w:tcPr>
          <w:p>
            <w:pPr>
              <w:spacing w:line="240" w:lineRule="auto"/>
            </w:pPr>
            <w:r/>
            <w:r>
              <w:rPr>
                <w:rFonts w:ascii="Times New Roman" w:hAnsi="Times New Roman" w:eastAsia="Times New Roman"/>
                <w:b w:val="0"/>
                <w:i w:val="0"/>
                <w:sz w:val="22"/>
                <w:u w:val="none"/>
              </w:rPr>
              <w:t>Staff / Admin / Customer</w:t>
            </w:r>
          </w:p>
        </w:tc>
        <w:tc>
          <w:tcPr>
            <w:tcW w:type="dxa" w:w="4932"/>
          </w:tcPr>
          <w:p>
            <w:pPr>
              <w:spacing w:line="240" w:lineRule="auto"/>
            </w:pPr>
            <w:r/>
            <w:r>
              <w:rPr>
                <w:rFonts w:ascii="Times New Roman" w:hAnsi="Times New Roman" w:eastAsia="Times New Roman"/>
                <w:b w:val="0"/>
                <w:i w:val="0"/>
                <w:sz w:val="22"/>
                <w:u w:val="none"/>
              </w:rPr>
              <w:t>The system shall provide staff and admin with a full forecast, trend, volatility and anomaly breakdown per currency, and a simplified outlook to customers.</w:t>
            </w:r>
          </w:p>
        </w:tc>
      </w:tr>
    </w:tbl>
    <w:p>
      <w:pPr>
        <w:spacing w:after="80"/>
      </w:pPr>
    </w:p>
    <w:p>
      <w:pPr>
        <w:keepNext/>
        <w:pageBreakBefore w:val="0"/>
        <w:spacing w:before="280" w:after="120"/>
        <w:jc w:val="left"/>
      </w:pPr>
      <w:r>
        <w:rPr>
          <w:rFonts w:ascii="Times New Roman" w:hAnsi="Times New Roman" w:eastAsia="Times New Roman"/>
          <w:b/>
          <w:i w:val="0"/>
          <w:sz w:val="26"/>
          <w:u w:val="none"/>
        </w:rPr>
        <w:t>4.3.1.9 Notifications and Customer Support</w:t>
      </w:r>
    </w:p>
    <w:p>
      <w:pPr>
        <w:spacing w:after="120" w:line="360" w:lineRule="auto"/>
        <w:jc w:val="both"/>
      </w:pPr>
      <w:r>
        <w:rPr>
          <w:rFonts w:ascii="Times New Roman" w:hAnsi="Times New Roman" w:eastAsia="Times New Roman"/>
          <w:b w:val="0"/>
          <w:i w:val="0"/>
          <w:sz w:val="24"/>
          <w:u w:val="none"/>
        </w:rPr>
        <w:t>Covers how a user is kept informed, and how they can reach the bank directly through the system.</w:t>
      </w:r>
    </w:p>
    <w:p>
      <w:pPr>
        <w:keepNext/>
        <w:spacing w:before="160" w:after="80"/>
      </w:pPr>
      <w:r>
        <w:rPr>
          <w:rFonts w:ascii="Times New Roman" w:hAnsi="Times New Roman" w:eastAsia="Times New Roman"/>
          <w:b/>
          <w:i w:val="0"/>
          <w:sz w:val="24"/>
          <w:u w:val="none"/>
        </w:rPr>
        <w:t>Table 10: Functional Requirements — Notifications and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FR-NOTIF-01</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send an in-app notification to a customer for every significant event on their account, such as a decision made, an offer issued, a payment received, or a loan disbursed.</w:t>
            </w:r>
          </w:p>
        </w:tc>
      </w:tr>
      <w:tr>
        <w:tc>
          <w:tcPr>
            <w:tcW w:type="dxa" w:w="1361"/>
          </w:tcPr>
          <w:p>
            <w:pPr>
              <w:spacing w:line="240" w:lineRule="auto"/>
            </w:pPr>
            <w:r/>
            <w:r>
              <w:rPr>
                <w:rFonts w:ascii="Times New Roman" w:hAnsi="Times New Roman" w:eastAsia="Times New Roman"/>
                <w:b w:val="0"/>
                <w:i w:val="0"/>
                <w:sz w:val="22"/>
                <w:u w:val="none"/>
              </w:rPr>
              <w:t>FR-NOTIF-02</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send an email notification for major events, regardless of whether the customer is logged in at the time.</w:t>
            </w:r>
          </w:p>
        </w:tc>
      </w:tr>
      <w:tr>
        <w:tc>
          <w:tcPr>
            <w:tcW w:type="dxa" w:w="1361"/>
          </w:tcPr>
          <w:p>
            <w:pPr>
              <w:spacing w:line="240" w:lineRule="auto"/>
            </w:pPr>
            <w:r/>
            <w:r>
              <w:rPr>
                <w:rFonts w:ascii="Times New Roman" w:hAnsi="Times New Roman" w:eastAsia="Times New Roman"/>
                <w:b w:val="0"/>
                <w:i w:val="0"/>
                <w:sz w:val="22"/>
                <w:u w:val="none"/>
              </w:rPr>
              <w:t>FR-NOTIF-03</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customer to open and continue a support conversation with the bank from within the system.</w:t>
            </w:r>
          </w:p>
        </w:tc>
      </w:tr>
      <w:tr>
        <w:tc>
          <w:tcPr>
            <w:tcW w:type="dxa" w:w="1361"/>
          </w:tcPr>
          <w:p>
            <w:pPr>
              <w:spacing w:line="240" w:lineRule="auto"/>
            </w:pPr>
            <w:r/>
            <w:r>
              <w:rPr>
                <w:rFonts w:ascii="Times New Roman" w:hAnsi="Times New Roman" w:eastAsia="Times New Roman"/>
                <w:b w:val="0"/>
                <w:i w:val="0"/>
                <w:sz w:val="22"/>
                <w:u w:val="none"/>
              </w:rPr>
              <w:t>FR-NOTIF-04</w:t>
            </w:r>
          </w:p>
        </w:tc>
        <w:tc>
          <w:tcPr>
            <w:tcW w:type="dxa" w:w="1928"/>
          </w:tcPr>
          <w:p>
            <w:pPr>
              <w:spacing w:line="240" w:lineRule="auto"/>
            </w:pPr>
            <w:r/>
            <w:r>
              <w:rPr>
                <w:rFonts w:ascii="Times New Roman" w:hAnsi="Times New Roman" w:eastAsia="Times New Roman"/>
                <w:b w:val="0"/>
                <w:i w:val="0"/>
                <w:sz w:val="22"/>
                <w:u w:val="none"/>
              </w:rPr>
              <w:t>Staff</w:t>
            </w:r>
          </w:p>
        </w:tc>
        <w:tc>
          <w:tcPr>
            <w:tcW w:type="dxa" w:w="4932"/>
          </w:tcPr>
          <w:p>
            <w:pPr>
              <w:spacing w:line="240" w:lineRule="auto"/>
            </w:pPr>
            <w:r/>
            <w:r>
              <w:rPr>
                <w:rFonts w:ascii="Times New Roman" w:hAnsi="Times New Roman" w:eastAsia="Times New Roman"/>
                <w:b w:val="0"/>
                <w:i w:val="0"/>
                <w:sz w:val="22"/>
                <w:u w:val="none"/>
              </w:rPr>
              <w:t>The system shall allow staff to view and respond to all support conversations from a shared inbox, and to mark a conversation resolved.</w:t>
            </w:r>
          </w:p>
        </w:tc>
      </w:tr>
      <w:tr>
        <w:tc>
          <w:tcPr>
            <w:tcW w:type="dxa" w:w="1361"/>
          </w:tcPr>
          <w:p>
            <w:pPr>
              <w:spacing w:line="240" w:lineRule="auto"/>
            </w:pPr>
            <w:r/>
            <w:r>
              <w:rPr>
                <w:rFonts w:ascii="Times New Roman" w:hAnsi="Times New Roman" w:eastAsia="Times New Roman"/>
                <w:b w:val="0"/>
                <w:i w:val="0"/>
                <w:sz w:val="22"/>
                <w:u w:val="none"/>
              </w:rPr>
              <w:t>FR-NOTIF-05</w:t>
            </w:r>
          </w:p>
        </w:tc>
        <w:tc>
          <w:tcPr>
            <w:tcW w:type="dxa" w:w="1928"/>
          </w:tcPr>
          <w:p>
            <w:pPr>
              <w:spacing w:line="240" w:lineRule="auto"/>
            </w:pPr>
            <w:r/>
            <w:r>
              <w:rPr>
                <w:rFonts w:ascii="Times New Roman" w:hAnsi="Times New Roman" w:eastAsia="Times New Roman"/>
                <w:b w:val="0"/>
                <w:i w:val="0"/>
                <w:sz w:val="22"/>
                <w:u w:val="none"/>
              </w:rPr>
              <w:t>Staff / Admin</w:t>
            </w:r>
          </w:p>
        </w:tc>
        <w:tc>
          <w:tcPr>
            <w:tcW w:type="dxa" w:w="4932"/>
          </w:tcPr>
          <w:p>
            <w:pPr>
              <w:spacing w:line="240" w:lineRule="auto"/>
            </w:pPr>
            <w:r/>
            <w:r>
              <w:rPr>
                <w:rFonts w:ascii="Times New Roman" w:hAnsi="Times New Roman" w:eastAsia="Times New Roman"/>
                <w:b w:val="0"/>
                <w:i w:val="0"/>
                <w:sz w:val="22"/>
                <w:u w:val="none"/>
              </w:rPr>
              <w:t>The system shall allow staff or admin to publish and edit the Frequently Asked Questions shown to the public.</w:t>
            </w:r>
          </w:p>
        </w:tc>
      </w:tr>
    </w:tbl>
    <w:p>
      <w:pPr>
        <w:spacing w:after="80"/>
      </w:pPr>
    </w:p>
    <w:p>
      <w:pPr>
        <w:keepNext/>
        <w:pageBreakBefore w:val="0"/>
        <w:spacing w:before="280" w:after="120"/>
        <w:jc w:val="left"/>
      </w:pPr>
      <w:r>
        <w:rPr>
          <w:rFonts w:ascii="Times New Roman" w:hAnsi="Times New Roman" w:eastAsia="Times New Roman"/>
          <w:b/>
          <w:i w:val="0"/>
          <w:sz w:val="26"/>
          <w:u w:val="none"/>
        </w:rPr>
        <w:t>4.3.1.10 Administration and Bank-Wide Reporting</w:t>
      </w:r>
    </w:p>
    <w:p>
      <w:pPr>
        <w:spacing w:after="120" w:line="360" w:lineRule="auto"/>
        <w:jc w:val="both"/>
      </w:pPr>
      <w:r>
        <w:rPr>
          <w:rFonts w:ascii="Times New Roman" w:hAnsi="Times New Roman" w:eastAsia="Times New Roman"/>
          <w:b w:val="0"/>
          <w:i w:val="0"/>
          <w:sz w:val="24"/>
          <w:u w:val="none"/>
        </w:rPr>
        <w:t>Covers system-wide configuration and oversight that is reserved for the administrator role.</w:t>
      </w:r>
    </w:p>
    <w:p>
      <w:pPr>
        <w:keepNext/>
        <w:spacing w:before="160" w:after="80"/>
      </w:pPr>
      <w:r>
        <w:rPr>
          <w:rFonts w:ascii="Times New Roman" w:hAnsi="Times New Roman" w:eastAsia="Times New Roman"/>
          <w:b/>
          <w:i w:val="0"/>
          <w:sz w:val="24"/>
          <w:u w:val="none"/>
        </w:rPr>
        <w:t>Table 11: Functional Requirements — Administration and Bank-Wide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FR-ADM-01</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add, edit or remove a loan product, provided no live application depends on a product being removed.</w:t>
            </w:r>
          </w:p>
        </w:tc>
      </w:tr>
      <w:tr>
        <w:tc>
          <w:tcPr>
            <w:tcW w:type="dxa" w:w="1361"/>
          </w:tcPr>
          <w:p>
            <w:pPr>
              <w:spacing w:line="240" w:lineRule="auto"/>
            </w:pPr>
            <w:r/>
            <w:r>
              <w:rPr>
                <w:rFonts w:ascii="Times New Roman" w:hAnsi="Times New Roman" w:eastAsia="Times New Roman"/>
                <w:b w:val="0"/>
                <w:i w:val="0"/>
                <w:sz w:val="22"/>
                <w:u w:val="none"/>
              </w:rPr>
              <w:t>FR-ADM-02</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manage staff accounts.</w:t>
            </w:r>
          </w:p>
        </w:tc>
      </w:tr>
      <w:tr>
        <w:tc>
          <w:tcPr>
            <w:tcW w:type="dxa" w:w="1361"/>
          </w:tcPr>
          <w:p>
            <w:pPr>
              <w:spacing w:line="240" w:lineRule="auto"/>
            </w:pPr>
            <w:r/>
            <w:r>
              <w:rPr>
                <w:rFonts w:ascii="Times New Roman" w:hAnsi="Times New Roman" w:eastAsia="Times New Roman"/>
                <w:b w:val="0"/>
                <w:i w:val="0"/>
                <w:sz w:val="22"/>
                <w:u w:val="none"/>
              </w:rPr>
              <w:t>FR-ADM-03</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provide an administrator with a portfolio dashboard summarising approval rate, disbursed volume, and the proportion of the loan book overdue by 30/60/90+ days.</w:t>
            </w:r>
          </w:p>
        </w:tc>
      </w:tr>
      <w:tr>
        <w:tc>
          <w:tcPr>
            <w:tcW w:type="dxa" w:w="1361"/>
          </w:tcPr>
          <w:p>
            <w:pPr>
              <w:spacing w:line="240" w:lineRule="auto"/>
            </w:pPr>
            <w:r/>
            <w:r>
              <w:rPr>
                <w:rFonts w:ascii="Times New Roman" w:hAnsi="Times New Roman" w:eastAsia="Times New Roman"/>
                <w:b w:val="0"/>
                <w:i w:val="0"/>
                <w:sz w:val="22"/>
                <w:u w:val="none"/>
              </w:rPr>
              <w:t>FR-ADM-04</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show an administrator how the loan book is distributed across products and risk categories.</w:t>
            </w:r>
          </w:p>
        </w:tc>
      </w:tr>
      <w:tr>
        <w:tc>
          <w:tcPr>
            <w:tcW w:type="dxa" w:w="1361"/>
          </w:tcPr>
          <w:p>
            <w:pPr>
              <w:spacing w:line="240" w:lineRule="auto"/>
            </w:pPr>
            <w:r/>
            <w:r>
              <w:rPr>
                <w:rFonts w:ascii="Times New Roman" w:hAnsi="Times New Roman" w:eastAsia="Times New Roman"/>
                <w:b w:val="0"/>
                <w:i w:val="0"/>
                <w:sz w:val="22"/>
                <w:u w:val="none"/>
              </w:rPr>
              <w:t>FR-ADM-05</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monitor the health, reachability and data freshness of the machine learning risk-assessment and currency-forecasting services.</w:t>
            </w:r>
          </w:p>
        </w:tc>
      </w:tr>
      <w:tr>
        <w:tc>
          <w:tcPr>
            <w:tcW w:type="dxa" w:w="1361"/>
          </w:tcPr>
          <w:p>
            <w:pPr>
              <w:spacing w:line="240" w:lineRule="auto"/>
            </w:pPr>
            <w:r/>
            <w:r>
              <w:rPr>
                <w:rFonts w:ascii="Times New Roman" w:hAnsi="Times New Roman" w:eastAsia="Times New Roman"/>
                <w:b w:val="0"/>
                <w:i w:val="0"/>
                <w:sz w:val="22"/>
                <w:u w:val="none"/>
              </w:rPr>
              <w:t>FR-ADM-06</w:t>
            </w:r>
          </w:p>
        </w:tc>
        <w:tc>
          <w:tcPr>
            <w:tcW w:type="dxa" w:w="1928"/>
          </w:tcPr>
          <w:p>
            <w:pPr>
              <w:spacing w:line="240" w:lineRule="auto"/>
            </w:pPr>
            <w:r/>
            <w:r>
              <w:rPr>
                <w:rFonts w:ascii="Times New Roman" w:hAnsi="Times New Roman" w:eastAsia="Times New Roman"/>
                <w:b w:val="0"/>
                <w:i w:val="0"/>
                <w:sz w:val="22"/>
                <w:u w:val="none"/>
              </w:rPr>
              <w:t>Admin</w:t>
            </w:r>
          </w:p>
        </w:tc>
        <w:tc>
          <w:tcPr>
            <w:tcW w:type="dxa" w:w="4932"/>
          </w:tcPr>
          <w:p>
            <w:pPr>
              <w:spacing w:line="240" w:lineRule="auto"/>
            </w:pPr>
            <w:r/>
            <w:r>
              <w:rPr>
                <w:rFonts w:ascii="Times New Roman" w:hAnsi="Times New Roman" w:eastAsia="Times New Roman"/>
                <w:b w:val="0"/>
                <w:i w:val="0"/>
                <w:sz w:val="22"/>
                <w:u w:val="none"/>
              </w:rPr>
              <w:t>The system shall allow an administrator to configure the bank's own identity details as shown throughout the system.</w:t>
            </w:r>
          </w:p>
        </w:tc>
      </w:tr>
    </w:tbl>
    <w:p>
      <w:pPr>
        <w:spacing w:after="80"/>
      </w:pPr>
    </w:p>
    <w:p>
      <w:pPr>
        <w:keepNext/>
        <w:pageBreakBefore w:val="0"/>
        <w:spacing w:before="280" w:after="120"/>
        <w:jc w:val="left"/>
      </w:pPr>
      <w:r>
        <w:rPr>
          <w:rFonts w:ascii="Times New Roman" w:hAnsi="Times New Roman" w:eastAsia="Times New Roman"/>
          <w:b/>
          <w:i w:val="0"/>
          <w:sz w:val="26"/>
          <w:u w:val="none"/>
        </w:rPr>
        <w:t>4.3.1.11 Multilingual Support and Localisation</w:t>
      </w:r>
    </w:p>
    <w:p>
      <w:pPr>
        <w:spacing w:after="120" w:line="360" w:lineRule="auto"/>
        <w:jc w:val="both"/>
      </w:pPr>
      <w:r>
        <w:rPr>
          <w:rFonts w:ascii="Times New Roman" w:hAnsi="Times New Roman" w:eastAsia="Times New Roman"/>
          <w:b w:val="0"/>
          <w:i w:val="0"/>
          <w:sz w:val="24"/>
          <w:u w:val="none"/>
        </w:rPr>
        <w:t>Covers access to the system in the languages its intended users actually speak.</w:t>
      </w:r>
    </w:p>
    <w:p>
      <w:pPr>
        <w:keepNext/>
        <w:spacing w:before="160" w:after="80"/>
      </w:pPr>
      <w:r>
        <w:rPr>
          <w:rFonts w:ascii="Times New Roman" w:hAnsi="Times New Roman" w:eastAsia="Times New Roman"/>
          <w:b/>
          <w:i w:val="0"/>
          <w:sz w:val="24"/>
          <w:u w:val="none"/>
        </w:rPr>
        <w:t>Table 12: Functional Requirements — Multilingual Support and Localisation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361"/>
          </w:tcPr>
          <w:p>
            <w:pPr>
              <w:spacing w:line="240" w:lineRule="auto"/>
              <w:jc w:val="center"/>
            </w:pPr>
            <w:r/>
            <w:r>
              <w:rPr>
                <w:rFonts w:ascii="Times New Roman" w:hAnsi="Times New Roman" w:eastAsia="Times New Roman"/>
                <w:b/>
                <w:i w:val="0"/>
                <w:sz w:val="22"/>
                <w:u w:val="none"/>
              </w:rPr>
              <w:t>ID</w:t>
            </w:r>
          </w:p>
        </w:tc>
        <w:tc>
          <w:tcPr>
            <w:tcW w:type="dxa" w:w="1928"/>
          </w:tcPr>
          <w:p>
            <w:pPr>
              <w:spacing w:line="240" w:lineRule="auto"/>
              <w:jc w:val="center"/>
            </w:pPr>
            <w:r/>
            <w:r>
              <w:rPr>
                <w:rFonts w:ascii="Times New Roman" w:hAnsi="Times New Roman" w:eastAsia="Times New Roman"/>
                <w:b/>
                <w:i w:val="0"/>
                <w:sz w:val="22"/>
                <w:u w:val="none"/>
              </w:rPr>
              <w:t>Actor</w:t>
            </w:r>
          </w:p>
        </w:tc>
        <w:tc>
          <w:tcPr>
            <w:tcW w:type="dxa" w:w="4932"/>
          </w:tcPr>
          <w:p>
            <w:pPr>
              <w:spacing w:line="240" w:lineRule="auto"/>
              <w:jc w:val="center"/>
            </w:pPr>
            <w:r/>
            <w:r>
              <w:rPr>
                <w:rFonts w:ascii="Times New Roman" w:hAnsi="Times New Roman" w:eastAsia="Times New Roman"/>
                <w:b/>
                <w:i w:val="0"/>
                <w:sz w:val="22"/>
                <w:u w:val="none"/>
              </w:rPr>
              <w:t>Requirement</w:t>
            </w:r>
          </w:p>
        </w:tc>
      </w:tr>
      <w:tr>
        <w:tc>
          <w:tcPr>
            <w:tcW w:type="dxa" w:w="1361"/>
          </w:tcPr>
          <w:p>
            <w:pPr>
              <w:spacing w:line="240" w:lineRule="auto"/>
            </w:pPr>
            <w:r/>
            <w:r>
              <w:rPr>
                <w:rFonts w:ascii="Times New Roman" w:hAnsi="Times New Roman" w:eastAsia="Times New Roman"/>
                <w:b w:val="0"/>
                <w:i w:val="0"/>
                <w:sz w:val="22"/>
                <w:u w:val="none"/>
              </w:rPr>
              <w:t>FR-I18N-01</w:t>
            </w:r>
          </w:p>
        </w:tc>
        <w:tc>
          <w:tcPr>
            <w:tcW w:type="dxa" w:w="1928"/>
          </w:tcPr>
          <w:p>
            <w:pPr>
              <w:spacing w:line="240" w:lineRule="auto"/>
            </w:pPr>
            <w:r/>
            <w:r>
              <w:rPr>
                <w:rFonts w:ascii="Times New Roman" w:hAnsi="Times New Roman" w:eastAsia="Times New Roman"/>
                <w:b w:val="0"/>
                <w:i w:val="0"/>
                <w:sz w:val="22"/>
                <w:u w:val="none"/>
              </w:rPr>
              <w:t>Customer</w:t>
            </w:r>
          </w:p>
        </w:tc>
        <w:tc>
          <w:tcPr>
            <w:tcW w:type="dxa" w:w="4932"/>
          </w:tcPr>
          <w:p>
            <w:pPr>
              <w:spacing w:line="240" w:lineRule="auto"/>
            </w:pPr>
            <w:r/>
            <w:r>
              <w:rPr>
                <w:rFonts w:ascii="Times New Roman" w:hAnsi="Times New Roman" w:eastAsia="Times New Roman"/>
                <w:b w:val="0"/>
                <w:i w:val="0"/>
                <w:sz w:val="22"/>
                <w:u w:val="none"/>
              </w:rPr>
              <w:t>The system shall allow a user to switch the customer-facing interface between English, Sinhala and Tamil at any time.</w:t>
            </w:r>
          </w:p>
        </w:tc>
      </w:tr>
      <w:tr>
        <w:tc>
          <w:tcPr>
            <w:tcW w:type="dxa" w:w="1361"/>
          </w:tcPr>
          <w:p>
            <w:pPr>
              <w:spacing w:line="240" w:lineRule="auto"/>
            </w:pPr>
            <w:r/>
            <w:r>
              <w:rPr>
                <w:rFonts w:ascii="Times New Roman" w:hAnsi="Times New Roman" w:eastAsia="Times New Roman"/>
                <w:b w:val="0"/>
                <w:i w:val="0"/>
                <w:sz w:val="22"/>
                <w:u w:val="none"/>
              </w:rPr>
              <w:t>FR-I18N-02</w:t>
            </w:r>
          </w:p>
        </w:tc>
        <w:tc>
          <w:tcPr>
            <w:tcW w:type="dxa" w:w="1928"/>
          </w:tcPr>
          <w:p>
            <w:pPr>
              <w:spacing w:line="240" w:lineRule="auto"/>
            </w:pPr>
            <w:r/>
            <w:r>
              <w:rPr>
                <w:rFonts w:ascii="Times New Roman" w:hAnsi="Times New Roman" w:eastAsia="Times New Roman"/>
                <w:b w:val="0"/>
                <w:i w:val="0"/>
                <w:sz w:val="22"/>
                <w:u w:val="none"/>
              </w:rPr>
              <w:t>System (Frontend)</w:t>
            </w:r>
          </w:p>
        </w:tc>
        <w:tc>
          <w:tcPr>
            <w:tcW w:type="dxa" w:w="4932"/>
          </w:tcPr>
          <w:p>
            <w:pPr>
              <w:spacing w:line="240" w:lineRule="auto"/>
            </w:pPr>
            <w:r/>
            <w:r>
              <w:rPr>
                <w:rFonts w:ascii="Times New Roman" w:hAnsi="Times New Roman" w:eastAsia="Times New Roman"/>
                <w:b w:val="0"/>
                <w:i w:val="0"/>
                <w:sz w:val="22"/>
                <w:u w:val="none"/>
              </w:rPr>
              <w:t>The system shall remember a user's selected language across sessions.</w:t>
            </w:r>
          </w:p>
        </w:tc>
      </w:tr>
      <w:tr>
        <w:tc>
          <w:tcPr>
            <w:tcW w:type="dxa" w:w="1361"/>
          </w:tcPr>
          <w:p>
            <w:pPr>
              <w:spacing w:line="240" w:lineRule="auto"/>
            </w:pPr>
            <w:r/>
            <w:r>
              <w:rPr>
                <w:rFonts w:ascii="Times New Roman" w:hAnsi="Times New Roman" w:eastAsia="Times New Roman"/>
                <w:b w:val="0"/>
                <w:i w:val="0"/>
                <w:sz w:val="22"/>
                <w:u w:val="none"/>
              </w:rPr>
              <w:t>FR-I18N-03</w:t>
            </w:r>
          </w:p>
        </w:tc>
        <w:tc>
          <w:tcPr>
            <w:tcW w:type="dxa" w:w="1928"/>
          </w:tcPr>
          <w:p>
            <w:pPr>
              <w:spacing w:line="240" w:lineRule="auto"/>
            </w:pPr>
            <w:r/>
            <w:r>
              <w:rPr>
                <w:rFonts w:ascii="Times New Roman" w:hAnsi="Times New Roman" w:eastAsia="Times New Roman"/>
                <w:b w:val="0"/>
                <w:i w:val="0"/>
                <w:sz w:val="22"/>
                <w:u w:val="none"/>
              </w:rPr>
              <w:t>System (Backend)</w:t>
            </w:r>
          </w:p>
        </w:tc>
        <w:tc>
          <w:tcPr>
            <w:tcW w:type="dxa" w:w="4932"/>
          </w:tcPr>
          <w:p>
            <w:pPr>
              <w:spacing w:line="240" w:lineRule="auto"/>
            </w:pPr>
            <w:r/>
            <w:r>
              <w:rPr>
                <w:rFonts w:ascii="Times New Roman" w:hAnsi="Times New Roman" w:eastAsia="Times New Roman"/>
                <w:b w:val="0"/>
                <w:i w:val="0"/>
                <w:sz w:val="22"/>
                <w:u w:val="none"/>
              </w:rPr>
              <w:t>The system shall provide Sinhala and Tamil translations for database-sourced customer content, such as loan product descriptions and FAQ entries, alongside the English original.</w:t>
            </w:r>
          </w:p>
        </w:tc>
      </w:tr>
    </w:tbl>
    <w:p>
      <w:pPr>
        <w:spacing w:after="80"/>
      </w:pPr>
    </w:p>
    <w:p>
      <w:r>
        <w:br w:type="page"/>
      </w:r>
    </w:p>
    <w:p>
      <w:pPr>
        <w:keepNext/>
        <w:pageBreakBefore w:val="0"/>
        <w:spacing w:before="360" w:after="240"/>
        <w:jc w:val="left"/>
      </w:pPr>
      <w:r>
        <w:rPr>
          <w:rFonts w:ascii="Times New Roman" w:hAnsi="Times New Roman" w:eastAsia="Times New Roman"/>
          <w:b/>
          <w:i w:val="0"/>
          <w:sz w:val="28"/>
          <w:u w:val="none"/>
        </w:rPr>
        <w:t>4.3.2 Non-Functional Requirements</w:t>
      </w:r>
    </w:p>
    <w:p>
      <w:pPr>
        <w:spacing w:after="200" w:line="360" w:lineRule="auto"/>
        <w:jc w:val="both"/>
      </w:pPr>
      <w:r>
        <w:rPr>
          <w:rFonts w:ascii="Times New Roman" w:hAnsi="Times New Roman" w:eastAsia="Times New Roman"/>
          <w:b w:val="0"/>
          <w:i w:val="0"/>
          <w:sz w:val="24"/>
          <w:u w:val="none"/>
        </w:rPr>
        <w:t>A non-functional requirement describes a quality the system must have, rather than a specific action it must perform. Because most quality attributes cut across several modules at once rather than belonging to a single one, the non-functional requirements are organised by quality category instead of by module. Each requirement is tagged with the module(s), using the same identifiers as Section 4.3.1, that it most directly applies to.</w:t>
      </w:r>
    </w:p>
    <w:p>
      <w:pPr>
        <w:keepNext/>
        <w:pageBreakBefore w:val="0"/>
        <w:spacing w:before="280" w:after="120"/>
        <w:jc w:val="left"/>
      </w:pPr>
      <w:r>
        <w:rPr>
          <w:rFonts w:ascii="Times New Roman" w:hAnsi="Times New Roman" w:eastAsia="Times New Roman"/>
          <w:b/>
          <w:i w:val="0"/>
          <w:sz w:val="26"/>
          <w:u w:val="none"/>
        </w:rPr>
        <w:t>4.3.2.1 Security</w:t>
      </w:r>
    </w:p>
    <w:p>
      <w:pPr>
        <w:keepNext/>
        <w:spacing w:before="160" w:after="80"/>
      </w:pPr>
      <w:r>
        <w:rPr>
          <w:rFonts w:ascii="Times New Roman" w:hAnsi="Times New Roman" w:eastAsia="Times New Roman"/>
          <w:b/>
          <w:i w:val="0"/>
          <w:sz w:val="24"/>
          <w:u w:val="none"/>
        </w:rPr>
        <w:t>Table 13: Non-Functional Requirements —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NFR-SEC-01</w:t>
            </w:r>
          </w:p>
        </w:tc>
        <w:tc>
          <w:tcPr>
            <w:tcW w:type="dxa" w:w="5386"/>
          </w:tcPr>
          <w:p>
            <w:pPr>
              <w:spacing w:line="240" w:lineRule="auto"/>
            </w:pPr>
            <w:r/>
            <w:r>
              <w:rPr>
                <w:rFonts w:ascii="Times New Roman" w:hAnsi="Times New Roman" w:eastAsia="Times New Roman"/>
                <w:b w:val="0"/>
                <w:i w:val="0"/>
                <w:sz w:val="22"/>
                <w:u w:val="none"/>
              </w:rPr>
              <w:t>Passwords must be stored using a one-way cryptographic hash; plaintext passwords must never be stored or logged.</w:t>
            </w:r>
          </w:p>
        </w:tc>
        <w:tc>
          <w:tcPr>
            <w:tcW w:type="dxa" w:w="1361"/>
          </w:tcPr>
          <w:p>
            <w:pPr>
              <w:spacing w:line="240" w:lineRule="auto"/>
            </w:pPr>
            <w:r/>
            <w:r>
              <w:rPr>
                <w:rFonts w:ascii="Times New Roman" w:hAnsi="Times New Roman" w:eastAsia="Times New Roman"/>
                <w:b w:val="0"/>
                <w:i w:val="0"/>
                <w:sz w:val="22"/>
                <w:u w:val="none"/>
              </w:rPr>
              <w:t>AUTH</w:t>
            </w:r>
          </w:p>
        </w:tc>
      </w:tr>
      <w:tr>
        <w:tc>
          <w:tcPr>
            <w:tcW w:type="dxa" w:w="1474"/>
          </w:tcPr>
          <w:p>
            <w:pPr>
              <w:spacing w:line="240" w:lineRule="auto"/>
            </w:pPr>
            <w:r/>
            <w:r>
              <w:rPr>
                <w:rFonts w:ascii="Times New Roman" w:hAnsi="Times New Roman" w:eastAsia="Times New Roman"/>
                <w:b w:val="0"/>
                <w:i w:val="0"/>
                <w:sz w:val="22"/>
                <w:u w:val="none"/>
              </w:rPr>
              <w:t>NFR-SEC-02</w:t>
            </w:r>
          </w:p>
        </w:tc>
        <w:tc>
          <w:tcPr>
            <w:tcW w:type="dxa" w:w="5386"/>
          </w:tcPr>
          <w:p>
            <w:pPr>
              <w:spacing w:line="240" w:lineRule="auto"/>
            </w:pPr>
            <w:r/>
            <w:r>
              <w:rPr>
                <w:rFonts w:ascii="Times New Roman" w:hAnsi="Times New Roman" w:eastAsia="Times New Roman"/>
                <w:b w:val="0"/>
                <w:i w:val="0"/>
                <w:sz w:val="22"/>
                <w:u w:val="none"/>
              </w:rPr>
              <w:t>Access to every protected function must require a valid authentication token, and every action must be checked against the caller's role before it is carried out.</w:t>
            </w:r>
          </w:p>
        </w:tc>
        <w:tc>
          <w:tcPr>
            <w:tcW w:type="dxa" w:w="1361"/>
          </w:tcPr>
          <w:p>
            <w:pPr>
              <w:spacing w:line="240" w:lineRule="auto"/>
            </w:pPr>
            <w:r/>
            <w:r>
              <w:rPr>
                <w:rFonts w:ascii="Times New Roman" w:hAnsi="Times New Roman" w:eastAsia="Times New Roman"/>
                <w:b w:val="0"/>
                <w:i w:val="0"/>
                <w:sz w:val="22"/>
                <w:u w:val="none"/>
              </w:rPr>
              <w:t>All modules</w:t>
            </w:r>
          </w:p>
        </w:tc>
      </w:tr>
      <w:tr>
        <w:tc>
          <w:tcPr>
            <w:tcW w:type="dxa" w:w="1474"/>
          </w:tcPr>
          <w:p>
            <w:pPr>
              <w:spacing w:line="240" w:lineRule="auto"/>
            </w:pPr>
            <w:r/>
            <w:r>
              <w:rPr>
                <w:rFonts w:ascii="Times New Roman" w:hAnsi="Times New Roman" w:eastAsia="Times New Roman"/>
                <w:b w:val="0"/>
                <w:i w:val="0"/>
                <w:sz w:val="22"/>
                <w:u w:val="none"/>
              </w:rPr>
              <w:t>NFR-SEC-03</w:t>
            </w:r>
          </w:p>
        </w:tc>
        <w:tc>
          <w:tcPr>
            <w:tcW w:type="dxa" w:w="5386"/>
          </w:tcPr>
          <w:p>
            <w:pPr>
              <w:spacing w:line="240" w:lineRule="auto"/>
            </w:pPr>
            <w:r/>
            <w:r>
              <w:rPr>
                <w:rFonts w:ascii="Times New Roman" w:hAnsi="Times New Roman" w:eastAsia="Times New Roman"/>
                <w:b w:val="0"/>
                <w:i w:val="0"/>
                <w:sz w:val="22"/>
                <w:u w:val="none"/>
              </w:rPr>
              <w:t>The session refresh token must be stored only in an HTTP-only cookie, never accessible to client-side script, to reduce exposure to cross-site scripting.</w:t>
            </w:r>
          </w:p>
        </w:tc>
        <w:tc>
          <w:tcPr>
            <w:tcW w:type="dxa" w:w="1361"/>
          </w:tcPr>
          <w:p>
            <w:pPr>
              <w:spacing w:line="240" w:lineRule="auto"/>
            </w:pPr>
            <w:r/>
            <w:r>
              <w:rPr>
                <w:rFonts w:ascii="Times New Roman" w:hAnsi="Times New Roman" w:eastAsia="Times New Roman"/>
                <w:b w:val="0"/>
                <w:i w:val="0"/>
                <w:sz w:val="22"/>
                <w:u w:val="none"/>
              </w:rPr>
              <w:t>AUTH</w:t>
            </w:r>
          </w:p>
        </w:tc>
      </w:tr>
      <w:tr>
        <w:tc>
          <w:tcPr>
            <w:tcW w:type="dxa" w:w="1474"/>
          </w:tcPr>
          <w:p>
            <w:pPr>
              <w:spacing w:line="240" w:lineRule="auto"/>
            </w:pPr>
            <w:r/>
            <w:r>
              <w:rPr>
                <w:rFonts w:ascii="Times New Roman" w:hAnsi="Times New Roman" w:eastAsia="Times New Roman"/>
                <w:b w:val="0"/>
                <w:i w:val="0"/>
                <w:sz w:val="22"/>
                <w:u w:val="none"/>
              </w:rPr>
              <w:t>NFR-SEC-04</w:t>
            </w:r>
          </w:p>
        </w:tc>
        <w:tc>
          <w:tcPr>
            <w:tcW w:type="dxa" w:w="5386"/>
          </w:tcPr>
          <w:p>
            <w:pPr>
              <w:spacing w:line="240" w:lineRule="auto"/>
            </w:pPr>
            <w:r/>
            <w:r>
              <w:rPr>
                <w:rFonts w:ascii="Times New Roman" w:hAnsi="Times New Roman" w:eastAsia="Times New Roman"/>
                <w:b w:val="0"/>
                <w:i w:val="0"/>
                <w:sz w:val="22"/>
                <w:u w:val="none"/>
              </w:rPr>
              <w:t>All card payment data must be captured and processed entirely by the external payment provider's own hosted checkout page; the system's servers must never receive or store raw card details.</w:t>
            </w:r>
          </w:p>
        </w:tc>
        <w:tc>
          <w:tcPr>
            <w:tcW w:type="dxa" w:w="1361"/>
          </w:tcPr>
          <w:p>
            <w:pPr>
              <w:spacing w:line="240" w:lineRule="auto"/>
            </w:pPr>
            <w:r/>
            <w:r>
              <w:rPr>
                <w:rFonts w:ascii="Times New Roman" w:hAnsi="Times New Roman" w:eastAsia="Times New Roman"/>
                <w:b w:val="0"/>
                <w:i w:val="0"/>
                <w:sz w:val="22"/>
                <w:u w:val="none"/>
              </w:rPr>
              <w:t>REPAY</w:t>
            </w:r>
          </w:p>
        </w:tc>
      </w:tr>
      <w:tr>
        <w:tc>
          <w:tcPr>
            <w:tcW w:type="dxa" w:w="1474"/>
          </w:tcPr>
          <w:p>
            <w:pPr>
              <w:spacing w:line="240" w:lineRule="auto"/>
            </w:pPr>
            <w:r/>
            <w:r>
              <w:rPr>
                <w:rFonts w:ascii="Times New Roman" w:hAnsi="Times New Roman" w:eastAsia="Times New Roman"/>
                <w:b w:val="0"/>
                <w:i w:val="0"/>
                <w:sz w:val="22"/>
                <w:u w:val="none"/>
              </w:rPr>
              <w:t>NFR-SEC-05</w:t>
            </w:r>
          </w:p>
        </w:tc>
        <w:tc>
          <w:tcPr>
            <w:tcW w:type="dxa" w:w="5386"/>
          </w:tcPr>
          <w:p>
            <w:pPr>
              <w:spacing w:line="240" w:lineRule="auto"/>
            </w:pPr>
            <w:r/>
            <w:r>
              <w:rPr>
                <w:rFonts w:ascii="Times New Roman" w:hAnsi="Times New Roman" w:eastAsia="Times New Roman"/>
                <w:b w:val="0"/>
                <w:i w:val="0"/>
                <w:sz w:val="22"/>
                <w:u w:val="none"/>
              </w:rPr>
              <w:t>Uploaded identity and financial documents must be served from non-public storage, reachable only through an authenticated, authorised request.</w:t>
            </w:r>
          </w:p>
        </w:tc>
        <w:tc>
          <w:tcPr>
            <w:tcW w:type="dxa" w:w="1361"/>
          </w:tcPr>
          <w:p>
            <w:pPr>
              <w:spacing w:line="240" w:lineRule="auto"/>
            </w:pPr>
            <w:r/>
            <w:r>
              <w:rPr>
                <w:rFonts w:ascii="Times New Roman" w:hAnsi="Times New Roman" w:eastAsia="Times New Roman"/>
                <w:b w:val="0"/>
                <w:i w:val="0"/>
                <w:sz w:val="22"/>
                <w:u w:val="none"/>
              </w:rPr>
              <w:t>KYC</w:t>
            </w:r>
          </w:p>
        </w:tc>
      </w:tr>
      <w:tr>
        <w:tc>
          <w:tcPr>
            <w:tcW w:type="dxa" w:w="1474"/>
          </w:tcPr>
          <w:p>
            <w:pPr>
              <w:spacing w:line="240" w:lineRule="auto"/>
            </w:pPr>
            <w:r/>
            <w:r>
              <w:rPr>
                <w:rFonts w:ascii="Times New Roman" w:hAnsi="Times New Roman" w:eastAsia="Times New Roman"/>
                <w:b w:val="0"/>
                <w:i w:val="0"/>
                <w:sz w:val="22"/>
                <w:u w:val="none"/>
              </w:rPr>
              <w:t>NFR-SEC-06</w:t>
            </w:r>
          </w:p>
        </w:tc>
        <w:tc>
          <w:tcPr>
            <w:tcW w:type="dxa" w:w="5386"/>
          </w:tcPr>
          <w:p>
            <w:pPr>
              <w:spacing w:line="240" w:lineRule="auto"/>
            </w:pPr>
            <w:r/>
            <w:r>
              <w:rPr>
                <w:rFonts w:ascii="Times New Roman" w:hAnsi="Times New Roman" w:eastAsia="Times New Roman"/>
                <w:b w:val="0"/>
                <w:i w:val="0"/>
                <w:sz w:val="22"/>
                <w:u w:val="none"/>
              </w:rPr>
              <w:t>All application secrets, including API keys, database credentials and internal service addresses, must be held only in server-side configuration and never exposed to the browser.</w:t>
            </w:r>
          </w:p>
        </w:tc>
        <w:tc>
          <w:tcPr>
            <w:tcW w:type="dxa" w:w="1361"/>
          </w:tcPr>
          <w:p>
            <w:pPr>
              <w:spacing w:line="240" w:lineRule="auto"/>
            </w:pPr>
            <w:r/>
            <w:r>
              <w:rPr>
                <w:rFonts w:ascii="Times New Roman" w:hAnsi="Times New Roman" w:eastAsia="Times New Roman"/>
                <w:b w:val="0"/>
                <w:i w:val="0"/>
                <w:sz w:val="22"/>
                <w:u w:val="none"/>
              </w:rPr>
              <w:t>All modules</w:t>
            </w:r>
          </w:p>
        </w:tc>
      </w:tr>
    </w:tbl>
    <w:p>
      <w:pPr>
        <w:spacing w:after="80"/>
      </w:pPr>
    </w:p>
    <w:p>
      <w:pPr>
        <w:keepNext/>
        <w:pageBreakBefore w:val="0"/>
        <w:spacing w:before="280" w:after="120"/>
        <w:jc w:val="left"/>
      </w:pPr>
      <w:r>
        <w:rPr>
          <w:rFonts w:ascii="Times New Roman" w:hAnsi="Times New Roman" w:eastAsia="Times New Roman"/>
          <w:b/>
          <w:i w:val="0"/>
          <w:sz w:val="26"/>
          <w:u w:val="none"/>
        </w:rPr>
        <w:t>4.3.2.2 Privacy and Compliance</w:t>
      </w:r>
    </w:p>
    <w:p>
      <w:pPr>
        <w:keepNext/>
        <w:spacing w:before="160" w:after="80"/>
      </w:pPr>
      <w:r>
        <w:rPr>
          <w:rFonts w:ascii="Times New Roman" w:hAnsi="Times New Roman" w:eastAsia="Times New Roman"/>
          <w:b/>
          <w:i w:val="0"/>
          <w:sz w:val="24"/>
          <w:u w:val="none"/>
        </w:rPr>
        <w:t>Table 14: Non-Functional Requirements — Privacy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NFR-PRIV-01</w:t>
            </w:r>
          </w:p>
        </w:tc>
        <w:tc>
          <w:tcPr>
            <w:tcW w:type="dxa" w:w="5386"/>
          </w:tcPr>
          <w:p>
            <w:pPr>
              <w:spacing w:line="240" w:lineRule="auto"/>
            </w:pPr>
            <w:r/>
            <w:r>
              <w:rPr>
                <w:rFonts w:ascii="Times New Roman" w:hAnsi="Times New Roman" w:eastAsia="Times New Roman"/>
                <w:b w:val="0"/>
                <w:i w:val="0"/>
                <w:sz w:val="22"/>
                <w:u w:val="none"/>
              </w:rPr>
              <w:t>Personal data must not be processed for a credit or bureau check until the customer's consent has been recorded, versioned and timestamped.</w:t>
            </w:r>
          </w:p>
        </w:tc>
        <w:tc>
          <w:tcPr>
            <w:tcW w:type="dxa" w:w="1361"/>
          </w:tcPr>
          <w:p>
            <w:pPr>
              <w:spacing w:line="240" w:lineRule="auto"/>
            </w:pPr>
            <w:r/>
            <w:r>
              <w:rPr>
                <w:rFonts w:ascii="Times New Roman" w:hAnsi="Times New Roman" w:eastAsia="Times New Roman"/>
                <w:b w:val="0"/>
                <w:i w:val="0"/>
                <w:sz w:val="22"/>
                <w:u w:val="none"/>
              </w:rPr>
              <w:t>APP</w:t>
            </w:r>
          </w:p>
        </w:tc>
      </w:tr>
      <w:tr>
        <w:tc>
          <w:tcPr>
            <w:tcW w:type="dxa" w:w="1474"/>
          </w:tcPr>
          <w:p>
            <w:pPr>
              <w:spacing w:line="240" w:lineRule="auto"/>
            </w:pPr>
            <w:r/>
            <w:r>
              <w:rPr>
                <w:rFonts w:ascii="Times New Roman" w:hAnsi="Times New Roman" w:eastAsia="Times New Roman"/>
                <w:b w:val="0"/>
                <w:i w:val="0"/>
                <w:sz w:val="22"/>
                <w:u w:val="none"/>
              </w:rPr>
              <w:t>NFR-PRIV-02</w:t>
            </w:r>
          </w:p>
        </w:tc>
        <w:tc>
          <w:tcPr>
            <w:tcW w:type="dxa" w:w="5386"/>
          </w:tcPr>
          <w:p>
            <w:pPr>
              <w:spacing w:line="240" w:lineRule="auto"/>
            </w:pPr>
            <w:r/>
            <w:r>
              <w:rPr>
                <w:rFonts w:ascii="Times New Roman" w:hAnsi="Times New Roman" w:eastAsia="Times New Roman"/>
                <w:b w:val="0"/>
                <w:i w:val="0"/>
                <w:sz w:val="22"/>
                <w:u w:val="none"/>
              </w:rPr>
              <w:t>Every automated or manual decision on an application must be traceable to a documented, standardised reason.</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NFR-PRIV-03</w:t>
            </w:r>
          </w:p>
        </w:tc>
        <w:tc>
          <w:tcPr>
            <w:tcW w:type="dxa" w:w="5386"/>
          </w:tcPr>
          <w:p>
            <w:pPr>
              <w:spacing w:line="240" w:lineRule="auto"/>
            </w:pPr>
            <w:r/>
            <w:r>
              <w:rPr>
                <w:rFonts w:ascii="Times New Roman" w:hAnsi="Times New Roman" w:eastAsia="Times New Roman"/>
                <w:b w:val="0"/>
                <w:i w:val="0"/>
                <w:sz w:val="22"/>
                <w:u w:val="none"/>
              </w:rPr>
              <w:t>A customer's own data must be visible only to that customer and to authorised staff or admin; one customer must never be able to view another customer's data.</w:t>
            </w:r>
          </w:p>
        </w:tc>
        <w:tc>
          <w:tcPr>
            <w:tcW w:type="dxa" w:w="1361"/>
          </w:tcPr>
          <w:p>
            <w:pPr>
              <w:spacing w:line="240" w:lineRule="auto"/>
            </w:pPr>
            <w:r/>
            <w:r>
              <w:rPr>
                <w:rFonts w:ascii="Times New Roman" w:hAnsi="Times New Roman" w:eastAsia="Times New Roman"/>
                <w:b w:val="0"/>
                <w:i w:val="0"/>
                <w:sz w:val="22"/>
                <w:u w:val="none"/>
              </w:rPr>
              <w:t>All modules</w:t>
            </w:r>
          </w:p>
        </w:tc>
      </w:tr>
    </w:tbl>
    <w:p>
      <w:pPr>
        <w:spacing w:after="80"/>
      </w:pPr>
    </w:p>
    <w:p>
      <w:pPr>
        <w:keepNext/>
        <w:pageBreakBefore w:val="0"/>
        <w:spacing w:before="280" w:after="120"/>
        <w:jc w:val="left"/>
      </w:pPr>
      <w:r>
        <w:rPr>
          <w:rFonts w:ascii="Times New Roman" w:hAnsi="Times New Roman" w:eastAsia="Times New Roman"/>
          <w:b/>
          <w:i w:val="0"/>
          <w:sz w:val="26"/>
          <w:u w:val="none"/>
        </w:rPr>
        <w:t>4.3.2.3 Performance and Efficiency</w:t>
      </w:r>
    </w:p>
    <w:p>
      <w:pPr>
        <w:keepNext/>
        <w:spacing w:before="160" w:after="80"/>
      </w:pPr>
      <w:r>
        <w:rPr>
          <w:rFonts w:ascii="Times New Roman" w:hAnsi="Times New Roman" w:eastAsia="Times New Roman"/>
          <w:b/>
          <w:i w:val="0"/>
          <w:sz w:val="24"/>
          <w:u w:val="none"/>
        </w:rPr>
        <w:t>Table 15: Non-Functional Requirements — Performance and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NFR-PERF-01</w:t>
            </w:r>
          </w:p>
        </w:tc>
        <w:tc>
          <w:tcPr>
            <w:tcW w:type="dxa" w:w="5386"/>
          </w:tcPr>
          <w:p>
            <w:pPr>
              <w:spacing w:line="240" w:lineRule="auto"/>
            </w:pPr>
            <w:r/>
            <w:r>
              <w:rPr>
                <w:rFonts w:ascii="Times New Roman" w:hAnsi="Times New Roman" w:eastAsia="Times New Roman"/>
                <w:b w:val="0"/>
                <w:i w:val="0"/>
                <w:sz w:val="22"/>
                <w:u w:val="none"/>
              </w:rPr>
              <w:t>A loan risk assessment, including the round trip to the machine learning service, should return a result within a few seconds under normal load.</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NFR-PERF-02</w:t>
            </w:r>
          </w:p>
        </w:tc>
        <w:tc>
          <w:tcPr>
            <w:tcW w:type="dxa" w:w="5386"/>
          </w:tcPr>
          <w:p>
            <w:pPr>
              <w:spacing w:line="240" w:lineRule="auto"/>
            </w:pPr>
            <w:r/>
            <w:r>
              <w:rPr>
                <w:rFonts w:ascii="Times New Roman" w:hAnsi="Times New Roman" w:eastAsia="Times New Roman"/>
                <w:b w:val="0"/>
                <w:i w:val="0"/>
                <w:sz w:val="22"/>
                <w:u w:val="none"/>
              </w:rPr>
              <w:t>A repeated request for the same currency analysis within a 24-hour window should be served from a cache rather than recomputed by the forecasting service.</w:t>
            </w:r>
          </w:p>
        </w:tc>
        <w:tc>
          <w:tcPr>
            <w:tcW w:type="dxa" w:w="1361"/>
          </w:tcPr>
          <w:p>
            <w:pPr>
              <w:spacing w:line="240" w:lineRule="auto"/>
            </w:pPr>
            <w:r/>
            <w:r>
              <w:rPr>
                <w:rFonts w:ascii="Times New Roman" w:hAnsi="Times New Roman" w:eastAsia="Times New Roman"/>
                <w:b w:val="0"/>
                <w:i w:val="0"/>
                <w:sz w:val="22"/>
                <w:u w:val="none"/>
              </w:rPr>
              <w:t>FX</w:t>
            </w:r>
          </w:p>
        </w:tc>
      </w:tr>
      <w:tr>
        <w:tc>
          <w:tcPr>
            <w:tcW w:type="dxa" w:w="1474"/>
          </w:tcPr>
          <w:p>
            <w:pPr>
              <w:spacing w:line="240" w:lineRule="auto"/>
            </w:pPr>
            <w:r/>
            <w:r>
              <w:rPr>
                <w:rFonts w:ascii="Times New Roman" w:hAnsi="Times New Roman" w:eastAsia="Times New Roman"/>
                <w:b w:val="0"/>
                <w:i w:val="0"/>
                <w:sz w:val="22"/>
                <w:u w:val="none"/>
              </w:rPr>
              <w:t>NFR-PERF-03</w:t>
            </w:r>
          </w:p>
        </w:tc>
        <w:tc>
          <w:tcPr>
            <w:tcW w:type="dxa" w:w="5386"/>
          </w:tcPr>
          <w:p>
            <w:pPr>
              <w:spacing w:line="240" w:lineRule="auto"/>
            </w:pPr>
            <w:r/>
            <w:r>
              <w:rPr>
                <w:rFonts w:ascii="Times New Roman" w:hAnsi="Times New Roman" w:eastAsia="Times New Roman"/>
                <w:b w:val="0"/>
                <w:i w:val="0"/>
                <w:sz w:val="22"/>
                <w:u w:val="none"/>
              </w:rPr>
              <w:t>Common list and dashboard views, such as the staff application queue and the admin portfolio dashboard, should load within a few seconds for the data volumes expected of a single-institution deployment.</w:t>
            </w:r>
          </w:p>
        </w:tc>
        <w:tc>
          <w:tcPr>
            <w:tcW w:type="dxa" w:w="1361"/>
          </w:tcPr>
          <w:p>
            <w:pPr>
              <w:spacing w:line="240" w:lineRule="auto"/>
            </w:pPr>
            <w:r/>
            <w:r>
              <w:rPr>
                <w:rFonts w:ascii="Times New Roman" w:hAnsi="Times New Roman" w:eastAsia="Times New Roman"/>
                <w:b w:val="0"/>
                <w:i w:val="0"/>
                <w:sz w:val="22"/>
                <w:u w:val="none"/>
              </w:rPr>
              <w:t>ADM</w:t>
            </w:r>
          </w:p>
        </w:tc>
      </w:tr>
    </w:tbl>
    <w:p>
      <w:pPr>
        <w:spacing w:after="80"/>
      </w:pPr>
    </w:p>
    <w:p>
      <w:pPr>
        <w:keepNext/>
        <w:pageBreakBefore w:val="0"/>
        <w:spacing w:before="280" w:after="120"/>
        <w:jc w:val="left"/>
      </w:pPr>
      <w:r>
        <w:rPr>
          <w:rFonts w:ascii="Times New Roman" w:hAnsi="Times New Roman" w:eastAsia="Times New Roman"/>
          <w:b/>
          <w:i w:val="0"/>
          <w:sz w:val="26"/>
          <w:u w:val="none"/>
        </w:rPr>
        <w:t>4.3.2.4 Reliability and Availability</w:t>
      </w:r>
    </w:p>
    <w:p>
      <w:pPr>
        <w:keepNext/>
        <w:spacing w:before="160" w:after="80"/>
      </w:pPr>
      <w:r>
        <w:rPr>
          <w:rFonts w:ascii="Times New Roman" w:hAnsi="Times New Roman" w:eastAsia="Times New Roman"/>
          <w:b/>
          <w:i w:val="0"/>
          <w:sz w:val="24"/>
          <w:u w:val="none"/>
        </w:rPr>
        <w:t>Table 16: Non-Functional Requirements — Reliability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NFR-REL-01</w:t>
            </w:r>
          </w:p>
        </w:tc>
        <w:tc>
          <w:tcPr>
            <w:tcW w:type="dxa" w:w="5386"/>
          </w:tcPr>
          <w:p>
            <w:pPr>
              <w:spacing w:line="240" w:lineRule="auto"/>
            </w:pPr>
            <w:r/>
            <w:r>
              <w:rPr>
                <w:rFonts w:ascii="Times New Roman" w:hAnsi="Times New Roman" w:eastAsia="Times New Roman"/>
                <w:b w:val="0"/>
                <w:i w:val="0"/>
                <w:sz w:val="22"/>
                <w:u w:val="none"/>
              </w:rPr>
              <w:t>The loan assessment process must complete successfully, using a deterministic fallback explanation, if the generative AI service is unavailable or returns an error.</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NFR-REL-02</w:t>
            </w:r>
          </w:p>
        </w:tc>
        <w:tc>
          <w:tcPr>
            <w:tcW w:type="dxa" w:w="5386"/>
          </w:tcPr>
          <w:p>
            <w:pPr>
              <w:spacing w:line="240" w:lineRule="auto"/>
            </w:pPr>
            <w:r/>
            <w:r>
              <w:rPr>
                <w:rFonts w:ascii="Times New Roman" w:hAnsi="Times New Roman" w:eastAsia="Times New Roman"/>
                <w:b w:val="0"/>
                <w:i w:val="0"/>
                <w:sz w:val="22"/>
                <w:u w:val="none"/>
              </w:rPr>
              <w:t>Core lending functions must remain usable if an optional external service, such as the payment gateway or the live exchange-rate feed, is not configured or is temporarily unreachable.</w:t>
            </w:r>
          </w:p>
        </w:tc>
        <w:tc>
          <w:tcPr>
            <w:tcW w:type="dxa" w:w="1361"/>
          </w:tcPr>
          <w:p>
            <w:pPr>
              <w:spacing w:line="240" w:lineRule="auto"/>
            </w:pPr>
            <w:r/>
            <w:r>
              <w:rPr>
                <w:rFonts w:ascii="Times New Roman" w:hAnsi="Times New Roman" w:eastAsia="Times New Roman"/>
                <w:b w:val="0"/>
                <w:i w:val="0"/>
                <w:sz w:val="22"/>
                <w:u w:val="none"/>
              </w:rPr>
              <w:t>REPAY, FX</w:t>
            </w:r>
          </w:p>
        </w:tc>
      </w:tr>
      <w:tr>
        <w:tc>
          <w:tcPr>
            <w:tcW w:type="dxa" w:w="1474"/>
          </w:tcPr>
          <w:p>
            <w:pPr>
              <w:spacing w:line="240" w:lineRule="auto"/>
            </w:pPr>
            <w:r/>
            <w:r>
              <w:rPr>
                <w:rFonts w:ascii="Times New Roman" w:hAnsi="Times New Roman" w:eastAsia="Times New Roman"/>
                <w:b w:val="0"/>
                <w:i w:val="0"/>
                <w:sz w:val="22"/>
                <w:u w:val="none"/>
              </w:rPr>
              <w:t>NFR-REL-03</w:t>
            </w:r>
          </w:p>
        </w:tc>
        <w:tc>
          <w:tcPr>
            <w:tcW w:type="dxa" w:w="5386"/>
          </w:tcPr>
          <w:p>
            <w:pPr>
              <w:spacing w:line="240" w:lineRule="auto"/>
            </w:pPr>
            <w:r/>
            <w:r>
              <w:rPr>
                <w:rFonts w:ascii="Times New Roman" w:hAnsi="Times New Roman" w:eastAsia="Times New Roman"/>
                <w:b w:val="0"/>
                <w:i w:val="0"/>
                <w:sz w:val="22"/>
                <w:u w:val="none"/>
              </w:rPr>
              <w:t>A background process must automatically expire a currency exchange request that staff have not actioned within its validity window, so pending requests cannot accumulate indefinitely.</w:t>
            </w:r>
          </w:p>
        </w:tc>
        <w:tc>
          <w:tcPr>
            <w:tcW w:type="dxa" w:w="1361"/>
          </w:tcPr>
          <w:p>
            <w:pPr>
              <w:spacing w:line="240" w:lineRule="auto"/>
            </w:pPr>
            <w:r/>
            <w:r>
              <w:rPr>
                <w:rFonts w:ascii="Times New Roman" w:hAnsi="Times New Roman" w:eastAsia="Times New Roman"/>
                <w:b w:val="0"/>
                <w:i w:val="0"/>
                <w:sz w:val="22"/>
                <w:u w:val="none"/>
              </w:rPr>
              <w:t>FX</w:t>
            </w:r>
          </w:p>
        </w:tc>
      </w:tr>
    </w:tbl>
    <w:p>
      <w:pPr>
        <w:spacing w:after="80"/>
      </w:pPr>
    </w:p>
    <w:p>
      <w:pPr>
        <w:keepNext/>
        <w:pageBreakBefore w:val="0"/>
        <w:spacing w:before="280" w:after="120"/>
        <w:jc w:val="left"/>
      </w:pPr>
      <w:r>
        <w:rPr>
          <w:rFonts w:ascii="Times New Roman" w:hAnsi="Times New Roman" w:eastAsia="Times New Roman"/>
          <w:b/>
          <w:i w:val="0"/>
          <w:sz w:val="26"/>
          <w:u w:val="none"/>
        </w:rPr>
        <w:t>4.3.2.5 Usability and Localisation</w:t>
      </w:r>
    </w:p>
    <w:p>
      <w:pPr>
        <w:keepNext/>
        <w:spacing w:before="160" w:after="80"/>
      </w:pPr>
      <w:r>
        <w:rPr>
          <w:rFonts w:ascii="Times New Roman" w:hAnsi="Times New Roman" w:eastAsia="Times New Roman"/>
          <w:b/>
          <w:i w:val="0"/>
          <w:sz w:val="24"/>
          <w:u w:val="none"/>
        </w:rPr>
        <w:t>Table 17: Non-Functional Requirements — Usability and Localisation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NFR-USE-01</w:t>
            </w:r>
          </w:p>
        </w:tc>
        <w:tc>
          <w:tcPr>
            <w:tcW w:type="dxa" w:w="5386"/>
          </w:tcPr>
          <w:p>
            <w:pPr>
              <w:spacing w:line="240" w:lineRule="auto"/>
            </w:pPr>
            <w:r/>
            <w:r>
              <w:rPr>
                <w:rFonts w:ascii="Times New Roman" w:hAnsi="Times New Roman" w:eastAsia="Times New Roman"/>
                <w:b w:val="0"/>
                <w:i w:val="0"/>
                <w:sz w:val="22"/>
                <w:u w:val="none"/>
              </w:rPr>
              <w:t>The customer-facing application must be understandable and usable by a non-technical user without additional training.</w:t>
            </w:r>
          </w:p>
        </w:tc>
        <w:tc>
          <w:tcPr>
            <w:tcW w:type="dxa" w:w="1361"/>
          </w:tcPr>
          <w:p>
            <w:pPr>
              <w:spacing w:line="240" w:lineRule="auto"/>
            </w:pPr>
            <w:r/>
            <w:r>
              <w:rPr>
                <w:rFonts w:ascii="Times New Roman" w:hAnsi="Times New Roman" w:eastAsia="Times New Roman"/>
                <w:b w:val="0"/>
                <w:i w:val="0"/>
                <w:sz w:val="22"/>
                <w:u w:val="none"/>
              </w:rPr>
              <w:t>All customer-facing modules</w:t>
            </w:r>
          </w:p>
        </w:tc>
      </w:tr>
      <w:tr>
        <w:tc>
          <w:tcPr>
            <w:tcW w:type="dxa" w:w="1474"/>
          </w:tcPr>
          <w:p>
            <w:pPr>
              <w:spacing w:line="240" w:lineRule="auto"/>
            </w:pPr>
            <w:r/>
            <w:r>
              <w:rPr>
                <w:rFonts w:ascii="Times New Roman" w:hAnsi="Times New Roman" w:eastAsia="Times New Roman"/>
                <w:b w:val="0"/>
                <w:i w:val="0"/>
                <w:sz w:val="22"/>
                <w:u w:val="none"/>
              </w:rPr>
              <w:t>NFR-USE-02</w:t>
            </w:r>
          </w:p>
        </w:tc>
        <w:tc>
          <w:tcPr>
            <w:tcW w:type="dxa" w:w="5386"/>
          </w:tcPr>
          <w:p>
            <w:pPr>
              <w:spacing w:line="240" w:lineRule="auto"/>
            </w:pPr>
            <w:r/>
            <w:r>
              <w:rPr>
                <w:rFonts w:ascii="Times New Roman" w:hAnsi="Times New Roman" w:eastAsia="Times New Roman"/>
                <w:b w:val="0"/>
                <w:i w:val="0"/>
                <w:sz w:val="22"/>
                <w:u w:val="none"/>
              </w:rPr>
              <w:t>The customer portal must be fully usable in English, Sinhala and Tamil, including validation messages and dynamic, database-sourced content.</w:t>
            </w:r>
          </w:p>
        </w:tc>
        <w:tc>
          <w:tcPr>
            <w:tcW w:type="dxa" w:w="1361"/>
          </w:tcPr>
          <w:p>
            <w:pPr>
              <w:spacing w:line="240" w:lineRule="auto"/>
            </w:pPr>
            <w:r/>
            <w:r>
              <w:rPr>
                <w:rFonts w:ascii="Times New Roman" w:hAnsi="Times New Roman" w:eastAsia="Times New Roman"/>
                <w:b w:val="0"/>
                <w:i w:val="0"/>
                <w:sz w:val="22"/>
                <w:u w:val="none"/>
              </w:rPr>
              <w:t>I18N</w:t>
            </w:r>
          </w:p>
        </w:tc>
      </w:tr>
      <w:tr>
        <w:tc>
          <w:tcPr>
            <w:tcW w:type="dxa" w:w="1474"/>
          </w:tcPr>
          <w:p>
            <w:pPr>
              <w:spacing w:line="240" w:lineRule="auto"/>
            </w:pPr>
            <w:r/>
            <w:r>
              <w:rPr>
                <w:rFonts w:ascii="Times New Roman" w:hAnsi="Times New Roman" w:eastAsia="Times New Roman"/>
                <w:b w:val="0"/>
                <w:i w:val="0"/>
                <w:sz w:val="22"/>
                <w:u w:val="none"/>
              </w:rPr>
              <w:t>NFR-USE-03</w:t>
            </w:r>
          </w:p>
        </w:tc>
        <w:tc>
          <w:tcPr>
            <w:tcW w:type="dxa" w:w="5386"/>
          </w:tcPr>
          <w:p>
            <w:pPr>
              <w:spacing w:line="240" w:lineRule="auto"/>
            </w:pPr>
            <w:r/>
            <w:r>
              <w:rPr>
                <w:rFonts w:ascii="Times New Roman" w:hAnsi="Times New Roman" w:eastAsia="Times New Roman"/>
                <w:b w:val="0"/>
                <w:i w:val="0"/>
                <w:sz w:val="22"/>
                <w:u w:val="none"/>
              </w:rPr>
              <w:t>A decision, offer, or rejection must always be presented to the customer with a plain-language explanation, not only as a numeric score or a status code.</w:t>
            </w:r>
          </w:p>
        </w:tc>
        <w:tc>
          <w:tcPr>
            <w:tcW w:type="dxa" w:w="1361"/>
          </w:tcPr>
          <w:p>
            <w:pPr>
              <w:spacing w:line="240" w:lineRule="auto"/>
            </w:pPr>
            <w:r/>
            <w:r>
              <w:rPr>
                <w:rFonts w:ascii="Times New Roman" w:hAnsi="Times New Roman" w:eastAsia="Times New Roman"/>
                <w:b w:val="0"/>
                <w:i w:val="0"/>
                <w:sz w:val="22"/>
                <w:u w:val="none"/>
              </w:rPr>
              <w:t>RISK, OFFER</w:t>
            </w:r>
          </w:p>
        </w:tc>
      </w:tr>
    </w:tbl>
    <w:p>
      <w:pPr>
        <w:spacing w:after="80"/>
      </w:pPr>
    </w:p>
    <w:p>
      <w:pPr>
        <w:keepNext/>
        <w:pageBreakBefore w:val="0"/>
        <w:spacing w:before="280" w:after="120"/>
        <w:jc w:val="left"/>
      </w:pPr>
      <w:r>
        <w:rPr>
          <w:rFonts w:ascii="Times New Roman" w:hAnsi="Times New Roman" w:eastAsia="Times New Roman"/>
          <w:b/>
          <w:i w:val="0"/>
          <w:sz w:val="26"/>
          <w:u w:val="none"/>
        </w:rPr>
        <w:t>4.3.2.6 Maintainability and Modularity</w:t>
      </w:r>
    </w:p>
    <w:p>
      <w:pPr>
        <w:keepNext/>
        <w:spacing w:before="160" w:after="80"/>
      </w:pPr>
      <w:r>
        <w:rPr>
          <w:rFonts w:ascii="Times New Roman" w:hAnsi="Times New Roman" w:eastAsia="Times New Roman"/>
          <w:b/>
          <w:i w:val="0"/>
          <w:sz w:val="24"/>
          <w:u w:val="none"/>
        </w:rPr>
        <w:t>Table 18: Non-Functional Requirements — Maintainability and Modularity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NFR-MAINT-01</w:t>
            </w:r>
          </w:p>
        </w:tc>
        <w:tc>
          <w:tcPr>
            <w:tcW w:type="dxa" w:w="5386"/>
          </w:tcPr>
          <w:p>
            <w:pPr>
              <w:spacing w:line="240" w:lineRule="auto"/>
            </w:pPr>
            <w:r/>
            <w:r>
              <w:rPr>
                <w:rFonts w:ascii="Times New Roman" w:hAnsi="Times New Roman" w:eastAsia="Times New Roman"/>
                <w:b w:val="0"/>
                <w:i w:val="0"/>
                <w:sz w:val="22"/>
                <w:u w:val="none"/>
              </w:rPr>
              <w:t>The machine learning service(s), the backend and the frontend must be deployable and upgradable independently of one another.</w:t>
            </w:r>
          </w:p>
        </w:tc>
        <w:tc>
          <w:tcPr>
            <w:tcW w:type="dxa" w:w="1361"/>
          </w:tcPr>
          <w:p>
            <w:pPr>
              <w:spacing w:line="240" w:lineRule="auto"/>
            </w:pPr>
            <w:r/>
            <w:r>
              <w:rPr>
                <w:rFonts w:ascii="Times New Roman" w:hAnsi="Times New Roman" w:eastAsia="Times New Roman"/>
                <w:b w:val="0"/>
                <w:i w:val="0"/>
                <w:sz w:val="22"/>
                <w:u w:val="none"/>
              </w:rPr>
              <w:t>All modules</w:t>
            </w:r>
          </w:p>
        </w:tc>
      </w:tr>
      <w:tr>
        <w:tc>
          <w:tcPr>
            <w:tcW w:type="dxa" w:w="1474"/>
          </w:tcPr>
          <w:p>
            <w:pPr>
              <w:spacing w:line="240" w:lineRule="auto"/>
            </w:pPr>
            <w:r/>
            <w:r>
              <w:rPr>
                <w:rFonts w:ascii="Times New Roman" w:hAnsi="Times New Roman" w:eastAsia="Times New Roman"/>
                <w:b w:val="0"/>
                <w:i w:val="0"/>
                <w:sz w:val="22"/>
                <w:u w:val="none"/>
              </w:rPr>
              <w:t>NFR-MAINT-02</w:t>
            </w:r>
          </w:p>
        </w:tc>
        <w:tc>
          <w:tcPr>
            <w:tcW w:type="dxa" w:w="5386"/>
          </w:tcPr>
          <w:p>
            <w:pPr>
              <w:spacing w:line="240" w:lineRule="auto"/>
            </w:pPr>
            <w:r/>
            <w:r>
              <w:rPr>
                <w:rFonts w:ascii="Times New Roman" w:hAnsi="Times New Roman" w:eastAsia="Times New Roman"/>
                <w:b w:val="0"/>
                <w:i w:val="0"/>
                <w:sz w:val="22"/>
                <w:u w:val="none"/>
              </w:rPr>
              <w:t>Business rules that change over time, such as credit policy thresholds, fee configuration and exchange limits, must be stored as configurable data rather than fixed values in code, so they can be updated without a code change.</w:t>
            </w:r>
          </w:p>
        </w:tc>
        <w:tc>
          <w:tcPr>
            <w:tcW w:type="dxa" w:w="1361"/>
          </w:tcPr>
          <w:p>
            <w:pPr>
              <w:spacing w:line="240" w:lineRule="auto"/>
            </w:pPr>
            <w:r/>
            <w:r>
              <w:rPr>
                <w:rFonts w:ascii="Times New Roman" w:hAnsi="Times New Roman" w:eastAsia="Times New Roman"/>
                <w:b w:val="0"/>
                <w:i w:val="0"/>
                <w:sz w:val="22"/>
                <w:u w:val="none"/>
              </w:rPr>
              <w:t>RISK, OFFER, FX</w:t>
            </w:r>
          </w:p>
        </w:tc>
      </w:tr>
    </w:tbl>
    <w:p>
      <w:pPr>
        <w:spacing w:after="80"/>
      </w:pPr>
    </w:p>
    <w:p>
      <w:pPr>
        <w:keepNext/>
        <w:pageBreakBefore w:val="0"/>
        <w:spacing w:before="280" w:after="120"/>
        <w:jc w:val="left"/>
      </w:pPr>
      <w:r>
        <w:rPr>
          <w:rFonts w:ascii="Times New Roman" w:hAnsi="Times New Roman" w:eastAsia="Times New Roman"/>
          <w:b/>
          <w:i w:val="0"/>
          <w:sz w:val="26"/>
          <w:u w:val="none"/>
        </w:rPr>
        <w:t>4.3.2.7 Scalability</w:t>
      </w:r>
    </w:p>
    <w:p>
      <w:pPr>
        <w:keepNext/>
        <w:spacing w:before="160" w:after="80"/>
      </w:pPr>
      <w:r>
        <w:rPr>
          <w:rFonts w:ascii="Times New Roman" w:hAnsi="Times New Roman" w:eastAsia="Times New Roman"/>
          <w:b/>
          <w:i w:val="0"/>
          <w:sz w:val="24"/>
          <w:u w:val="none"/>
        </w:rPr>
        <w:t>Table 19: Non-Functional Requirements — Scalability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NFR-SCALE-01</w:t>
            </w:r>
          </w:p>
        </w:tc>
        <w:tc>
          <w:tcPr>
            <w:tcW w:type="dxa" w:w="5386"/>
          </w:tcPr>
          <w:p>
            <w:pPr>
              <w:spacing w:line="240" w:lineRule="auto"/>
            </w:pPr>
            <w:r/>
            <w:r>
              <w:rPr>
                <w:rFonts w:ascii="Times New Roman" w:hAnsi="Times New Roman" w:eastAsia="Times New Roman"/>
                <w:b w:val="0"/>
                <w:i w:val="0"/>
                <w:sz w:val="22"/>
                <w:u w:val="none"/>
              </w:rPr>
              <w:t>Each service — the frontend, the backend, the loan-risk model and the currency-forecast model — must be able to run as an independent process, so that any one of them can be scaled without redeploying the others.</w:t>
            </w:r>
          </w:p>
        </w:tc>
        <w:tc>
          <w:tcPr>
            <w:tcW w:type="dxa" w:w="1361"/>
          </w:tcPr>
          <w:p>
            <w:pPr>
              <w:spacing w:line="240" w:lineRule="auto"/>
            </w:pPr>
            <w:r/>
            <w:r>
              <w:rPr>
                <w:rFonts w:ascii="Times New Roman" w:hAnsi="Times New Roman" w:eastAsia="Times New Roman"/>
                <w:b w:val="0"/>
                <w:i w:val="0"/>
                <w:sz w:val="22"/>
                <w:u w:val="none"/>
              </w:rPr>
              <w:t>All modules</w:t>
            </w:r>
          </w:p>
        </w:tc>
      </w:tr>
    </w:tbl>
    <w:p>
      <w:pPr>
        <w:spacing w:after="80"/>
      </w:pPr>
    </w:p>
    <w:p>
      <w:pPr>
        <w:keepNext/>
        <w:pageBreakBefore w:val="0"/>
        <w:spacing w:before="280" w:after="120"/>
        <w:jc w:val="left"/>
      </w:pPr>
      <w:r>
        <w:rPr>
          <w:rFonts w:ascii="Times New Roman" w:hAnsi="Times New Roman" w:eastAsia="Times New Roman"/>
          <w:b/>
          <w:i w:val="0"/>
          <w:sz w:val="26"/>
          <w:u w:val="none"/>
        </w:rPr>
        <w:t>4.3.2.8 Auditability and Data Integrity</w:t>
      </w:r>
    </w:p>
    <w:p>
      <w:pPr>
        <w:keepNext/>
        <w:spacing w:before="160" w:after="80"/>
      </w:pPr>
      <w:r>
        <w:rPr>
          <w:rFonts w:ascii="Times New Roman" w:hAnsi="Times New Roman" w:eastAsia="Times New Roman"/>
          <w:b/>
          <w:i w:val="0"/>
          <w:sz w:val="24"/>
          <w:u w:val="none"/>
        </w:rPr>
        <w:t>Table 20: Non-Functional Requirements — Auditability and Data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NFR-AUDIT-01</w:t>
            </w:r>
          </w:p>
        </w:tc>
        <w:tc>
          <w:tcPr>
            <w:tcW w:type="dxa" w:w="5386"/>
          </w:tcPr>
          <w:p>
            <w:pPr>
              <w:spacing w:line="240" w:lineRule="auto"/>
            </w:pPr>
            <w:r/>
            <w:r>
              <w:rPr>
                <w:rFonts w:ascii="Times New Roman" w:hAnsi="Times New Roman" w:eastAsia="Times New Roman"/>
                <w:b w:val="0"/>
                <w:i w:val="0"/>
                <w:sz w:val="22"/>
                <w:u w:val="none"/>
              </w:rPr>
              <w:t>Every status change and decision on a loan application must be written to an append-only history that cannot be edited or deleted afterwards.</w:t>
            </w:r>
          </w:p>
        </w:tc>
        <w:tc>
          <w:tcPr>
            <w:tcW w:type="dxa" w:w="1361"/>
          </w:tcPr>
          <w:p>
            <w:pPr>
              <w:spacing w:line="240" w:lineRule="auto"/>
            </w:pPr>
            <w:r/>
            <w:r>
              <w:rPr>
                <w:rFonts w:ascii="Times New Roman" w:hAnsi="Times New Roman" w:eastAsia="Times New Roman"/>
                <w:b w:val="0"/>
                <w:i w:val="0"/>
                <w:sz w:val="22"/>
                <w:u w:val="none"/>
              </w:rPr>
              <w:t>APP, RISK</w:t>
            </w:r>
          </w:p>
        </w:tc>
      </w:tr>
      <w:tr>
        <w:tc>
          <w:tcPr>
            <w:tcW w:type="dxa" w:w="1474"/>
          </w:tcPr>
          <w:p>
            <w:pPr>
              <w:spacing w:line="240" w:lineRule="auto"/>
            </w:pPr>
            <w:r/>
            <w:r>
              <w:rPr>
                <w:rFonts w:ascii="Times New Roman" w:hAnsi="Times New Roman" w:eastAsia="Times New Roman"/>
                <w:b w:val="0"/>
                <w:i w:val="0"/>
                <w:sz w:val="22"/>
                <w:u w:val="none"/>
              </w:rPr>
              <w:t>NFR-AUDIT-02</w:t>
            </w:r>
          </w:p>
        </w:tc>
        <w:tc>
          <w:tcPr>
            <w:tcW w:type="dxa" w:w="5386"/>
          </w:tcPr>
          <w:p>
            <w:pPr>
              <w:spacing w:line="240" w:lineRule="auto"/>
            </w:pPr>
            <w:r/>
            <w:r>
              <w:rPr>
                <w:rFonts w:ascii="Times New Roman" w:hAnsi="Times New Roman" w:eastAsia="Times New Roman"/>
                <w:b w:val="0"/>
                <w:i w:val="0"/>
                <w:sz w:val="22"/>
                <w:u w:val="none"/>
              </w:rPr>
              <w:t>A record that is later superseded, such as a reopened rejection, must be preserved in full rather than overwritten, so that past decisions remain reconstructable.</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NFR-AUDIT-03</w:t>
            </w:r>
          </w:p>
        </w:tc>
        <w:tc>
          <w:tcPr>
            <w:tcW w:type="dxa" w:w="5386"/>
          </w:tcPr>
          <w:p>
            <w:pPr>
              <w:spacing w:line="240" w:lineRule="auto"/>
            </w:pPr>
            <w:r/>
            <w:r>
              <w:rPr>
                <w:rFonts w:ascii="Times New Roman" w:hAnsi="Times New Roman" w:eastAsia="Times New Roman"/>
                <w:b w:val="0"/>
                <w:i w:val="0"/>
                <w:sz w:val="22"/>
                <w:u w:val="none"/>
              </w:rPr>
              <w:t>A recorded payment must always be traceable to how it was allocated across fees, interest and principal.</w:t>
            </w:r>
          </w:p>
        </w:tc>
        <w:tc>
          <w:tcPr>
            <w:tcW w:type="dxa" w:w="1361"/>
          </w:tcPr>
          <w:p>
            <w:pPr>
              <w:spacing w:line="240" w:lineRule="auto"/>
            </w:pPr>
            <w:r/>
            <w:r>
              <w:rPr>
                <w:rFonts w:ascii="Times New Roman" w:hAnsi="Times New Roman" w:eastAsia="Times New Roman"/>
                <w:b w:val="0"/>
                <w:i w:val="0"/>
                <w:sz w:val="22"/>
                <w:u w:val="none"/>
              </w:rPr>
              <w:t>REPAY</w:t>
            </w:r>
          </w:p>
        </w:tc>
      </w:tr>
    </w:tbl>
    <w:p>
      <w:pPr>
        <w:spacing w:after="80"/>
      </w:pPr>
    </w:p>
    <w:p>
      <w:pPr>
        <w:keepNext/>
        <w:pageBreakBefore w:val="0"/>
        <w:spacing w:before="280" w:after="120"/>
        <w:jc w:val="left"/>
      </w:pPr>
      <w:r>
        <w:rPr>
          <w:rFonts w:ascii="Times New Roman" w:hAnsi="Times New Roman" w:eastAsia="Times New Roman"/>
          <w:b/>
          <w:i w:val="0"/>
          <w:sz w:val="26"/>
          <w:u w:val="none"/>
        </w:rPr>
        <w:t>4.3.2.9 Compatibility</w:t>
      </w:r>
    </w:p>
    <w:p>
      <w:pPr>
        <w:keepNext/>
        <w:spacing w:before="160" w:after="80"/>
      </w:pPr>
      <w:r>
        <w:rPr>
          <w:rFonts w:ascii="Times New Roman" w:hAnsi="Times New Roman" w:eastAsia="Times New Roman"/>
          <w:b/>
          <w:i w:val="0"/>
          <w:sz w:val="24"/>
          <w:u w:val="none"/>
        </w:rPr>
        <w:t>Table 21: Non-Functional Requirements —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NFR-COMPAT-01</w:t>
            </w:r>
          </w:p>
        </w:tc>
        <w:tc>
          <w:tcPr>
            <w:tcW w:type="dxa" w:w="5386"/>
          </w:tcPr>
          <w:p>
            <w:pPr>
              <w:spacing w:line="240" w:lineRule="auto"/>
            </w:pPr>
            <w:r/>
            <w:r>
              <w:rPr>
                <w:rFonts w:ascii="Times New Roman" w:hAnsi="Times New Roman" w:eastAsia="Times New Roman"/>
                <w:b w:val="0"/>
                <w:i w:val="0"/>
                <w:sz w:val="22"/>
                <w:u w:val="none"/>
              </w:rPr>
              <w:t>The web application must function correctly on current versions of major desktop and mobile browsers, without requiring any additional software to be installed.</w:t>
            </w:r>
          </w:p>
        </w:tc>
        <w:tc>
          <w:tcPr>
            <w:tcW w:type="dxa" w:w="1361"/>
          </w:tcPr>
          <w:p>
            <w:pPr>
              <w:spacing w:line="240" w:lineRule="auto"/>
            </w:pPr>
            <w:r/>
            <w:r>
              <w:rPr>
                <w:rFonts w:ascii="Times New Roman" w:hAnsi="Times New Roman" w:eastAsia="Times New Roman"/>
                <w:b w:val="0"/>
                <w:i w:val="0"/>
                <w:sz w:val="22"/>
                <w:u w:val="none"/>
              </w:rPr>
              <w:t>All modules</w:t>
            </w:r>
          </w:p>
        </w:tc>
      </w:tr>
      <w:tr>
        <w:tc>
          <w:tcPr>
            <w:tcW w:type="dxa" w:w="1474"/>
          </w:tcPr>
          <w:p>
            <w:pPr>
              <w:spacing w:line="240" w:lineRule="auto"/>
            </w:pPr>
            <w:r/>
            <w:r>
              <w:rPr>
                <w:rFonts w:ascii="Times New Roman" w:hAnsi="Times New Roman" w:eastAsia="Times New Roman"/>
                <w:b w:val="0"/>
                <w:i w:val="0"/>
                <w:sz w:val="22"/>
                <w:u w:val="none"/>
              </w:rPr>
              <w:t>NFR-COMPAT-02</w:t>
            </w:r>
          </w:p>
        </w:tc>
        <w:tc>
          <w:tcPr>
            <w:tcW w:type="dxa" w:w="5386"/>
          </w:tcPr>
          <w:p>
            <w:pPr>
              <w:spacing w:line="240" w:lineRule="auto"/>
            </w:pPr>
            <w:r/>
            <w:r>
              <w:rPr>
                <w:rFonts w:ascii="Times New Roman" w:hAnsi="Times New Roman" w:eastAsia="Times New Roman"/>
                <w:b w:val="0"/>
                <w:i w:val="0"/>
                <w:sz w:val="22"/>
                <w:u w:val="none"/>
              </w:rPr>
              <w:t>The system must degrade gracefully, disabling only the affected feature rather than the whole application, when an optional third-party integration is not configured.</w:t>
            </w:r>
          </w:p>
        </w:tc>
        <w:tc>
          <w:tcPr>
            <w:tcW w:type="dxa" w:w="1361"/>
          </w:tcPr>
          <w:p>
            <w:pPr>
              <w:spacing w:line="240" w:lineRule="auto"/>
            </w:pPr>
            <w:r/>
            <w:r>
              <w:rPr>
                <w:rFonts w:ascii="Times New Roman" w:hAnsi="Times New Roman" w:eastAsia="Times New Roman"/>
                <w:b w:val="0"/>
                <w:i w:val="0"/>
                <w:sz w:val="22"/>
                <w:u w:val="none"/>
              </w:rPr>
              <w:t>REPAY, RISK, FX</w:t>
            </w:r>
          </w:p>
        </w:tc>
      </w:tr>
    </w:tbl>
    <w:p>
      <w:pPr>
        <w:spacing w:after="80"/>
      </w:pPr>
    </w:p>
    <w:p>
      <w:pPr>
        <w:keepNext/>
        <w:pageBreakBefore w:val="0"/>
        <w:spacing w:before="280" w:after="120"/>
        <w:jc w:val="left"/>
      </w:pPr>
      <w:r>
        <w:rPr>
          <w:rFonts w:ascii="Times New Roman" w:hAnsi="Times New Roman" w:eastAsia="Times New Roman"/>
          <w:b/>
          <w:i w:val="0"/>
          <w:sz w:val="26"/>
          <w:u w:val="none"/>
        </w:rPr>
        <w:t>4.3.2.10 Fairness and Robustness</w:t>
      </w:r>
    </w:p>
    <w:p>
      <w:pPr>
        <w:keepNext/>
        <w:spacing w:before="160" w:after="80"/>
      </w:pPr>
      <w:r>
        <w:rPr>
          <w:rFonts w:ascii="Times New Roman" w:hAnsi="Times New Roman" w:eastAsia="Times New Roman"/>
          <w:b/>
          <w:i w:val="0"/>
          <w:sz w:val="24"/>
          <w:u w:val="none"/>
        </w:rPr>
        <w:t>Table 22: Non-Functional Requirements — Fairness and Robustness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22"/>
        <w:gridCol w:w="2922"/>
        <w:gridCol w:w="2922"/>
      </w:tblGrid>
      <w:tr>
        <w:tc>
          <w:tcPr>
            <w:tcW w:type="dxa" w:w="1474"/>
          </w:tcPr>
          <w:p>
            <w:pPr>
              <w:spacing w:line="240" w:lineRule="auto"/>
              <w:jc w:val="center"/>
            </w:pPr>
            <w:r/>
            <w:r>
              <w:rPr>
                <w:rFonts w:ascii="Times New Roman" w:hAnsi="Times New Roman" w:eastAsia="Times New Roman"/>
                <w:b/>
                <w:i w:val="0"/>
                <w:sz w:val="22"/>
                <w:u w:val="none"/>
              </w:rPr>
              <w:t>ID</w:t>
            </w:r>
          </w:p>
        </w:tc>
        <w:tc>
          <w:tcPr>
            <w:tcW w:type="dxa" w:w="5386"/>
          </w:tcPr>
          <w:p>
            <w:pPr>
              <w:spacing w:line="240" w:lineRule="auto"/>
              <w:jc w:val="center"/>
            </w:pPr>
            <w:r/>
            <w:r>
              <w:rPr>
                <w:rFonts w:ascii="Times New Roman" w:hAnsi="Times New Roman" w:eastAsia="Times New Roman"/>
                <w:b/>
                <w:i w:val="0"/>
                <w:sz w:val="22"/>
                <w:u w:val="none"/>
              </w:rPr>
              <w:t>Requirement</w:t>
            </w:r>
          </w:p>
        </w:tc>
        <w:tc>
          <w:tcPr>
            <w:tcW w:type="dxa" w:w="1361"/>
          </w:tcPr>
          <w:p>
            <w:pPr>
              <w:spacing w:line="240" w:lineRule="auto"/>
              <w:jc w:val="center"/>
            </w:pPr>
            <w:r/>
            <w:r>
              <w:rPr>
                <w:rFonts w:ascii="Times New Roman" w:hAnsi="Times New Roman" w:eastAsia="Times New Roman"/>
                <w:b/>
                <w:i w:val="0"/>
                <w:sz w:val="22"/>
                <w:u w:val="none"/>
              </w:rPr>
              <w:t>Primary Module(s)</w:t>
            </w:r>
          </w:p>
        </w:tc>
      </w:tr>
      <w:tr>
        <w:tc>
          <w:tcPr>
            <w:tcW w:type="dxa" w:w="1474"/>
          </w:tcPr>
          <w:p>
            <w:pPr>
              <w:spacing w:line="240" w:lineRule="auto"/>
            </w:pPr>
            <w:r/>
            <w:r>
              <w:rPr>
                <w:rFonts w:ascii="Times New Roman" w:hAnsi="Times New Roman" w:eastAsia="Times New Roman"/>
                <w:b w:val="0"/>
                <w:i w:val="0"/>
                <w:sz w:val="22"/>
                <w:u w:val="none"/>
              </w:rPr>
              <w:t>NFR-FAIR-01</w:t>
            </w:r>
          </w:p>
        </w:tc>
        <w:tc>
          <w:tcPr>
            <w:tcW w:type="dxa" w:w="5386"/>
          </w:tcPr>
          <w:p>
            <w:pPr>
              <w:spacing w:line="240" w:lineRule="auto"/>
            </w:pPr>
            <w:r/>
            <w:r>
              <w:rPr>
                <w:rFonts w:ascii="Times New Roman" w:hAnsi="Times New Roman" w:eastAsia="Times New Roman"/>
                <w:b w:val="0"/>
                <w:i w:val="0"/>
                <w:sz w:val="22"/>
                <w:u w:val="none"/>
              </w:rPr>
              <w:t>The credit risk model must not accept a protected personal characteristic, such as gender, as an input to its assessment.</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NFR-FAIR-02</w:t>
            </w:r>
          </w:p>
        </w:tc>
        <w:tc>
          <w:tcPr>
            <w:tcW w:type="dxa" w:w="5386"/>
          </w:tcPr>
          <w:p>
            <w:pPr>
              <w:spacing w:line="240" w:lineRule="auto"/>
            </w:pPr>
            <w:r/>
            <w:r>
              <w:rPr>
                <w:rFonts w:ascii="Times New Roman" w:hAnsi="Times New Roman" w:eastAsia="Times New Roman"/>
                <w:b w:val="0"/>
                <w:i w:val="0"/>
                <w:sz w:val="22"/>
                <w:u w:val="none"/>
              </w:rPr>
              <w:t>The credit risk model must represent information it genuinely does not have about an applicant as unknown, rather than substituting an assumed average value, so that an applicant is never credited with conduct that has not actually been observed.</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NFR-FAIR-03</w:t>
            </w:r>
          </w:p>
        </w:tc>
        <w:tc>
          <w:tcPr>
            <w:tcW w:type="dxa" w:w="5386"/>
          </w:tcPr>
          <w:p>
            <w:pPr>
              <w:spacing w:line="240" w:lineRule="auto"/>
            </w:pPr>
            <w:r/>
            <w:r>
              <w:rPr>
                <w:rFonts w:ascii="Times New Roman" w:hAnsi="Times New Roman" w:eastAsia="Times New Roman"/>
                <w:b w:val="0"/>
                <w:i w:val="0"/>
                <w:sz w:val="22"/>
                <w:u w:val="none"/>
              </w:rPr>
              <w:t>An applicant-declared figure that is inconsistent with other information already on the same application must have its influence on the assessment limited and must be flagged for staff review, rather than being accepted without question.</w:t>
            </w:r>
          </w:p>
        </w:tc>
        <w:tc>
          <w:tcPr>
            <w:tcW w:type="dxa" w:w="1361"/>
          </w:tcPr>
          <w:p>
            <w:pPr>
              <w:spacing w:line="240" w:lineRule="auto"/>
            </w:pPr>
            <w:r/>
            <w:r>
              <w:rPr>
                <w:rFonts w:ascii="Times New Roman" w:hAnsi="Times New Roman" w:eastAsia="Times New Roman"/>
                <w:b w:val="0"/>
                <w:i w:val="0"/>
                <w:sz w:val="22"/>
                <w:u w:val="none"/>
              </w:rPr>
              <w:t>RISK</w:t>
            </w:r>
          </w:p>
        </w:tc>
      </w:tr>
      <w:tr>
        <w:tc>
          <w:tcPr>
            <w:tcW w:type="dxa" w:w="1474"/>
          </w:tcPr>
          <w:p>
            <w:pPr>
              <w:spacing w:line="240" w:lineRule="auto"/>
            </w:pPr>
            <w:r/>
            <w:r>
              <w:rPr>
                <w:rFonts w:ascii="Times New Roman" w:hAnsi="Times New Roman" w:eastAsia="Times New Roman"/>
                <w:b w:val="0"/>
                <w:i w:val="0"/>
                <w:sz w:val="22"/>
                <w:u w:val="none"/>
              </w:rPr>
              <w:t>NFR-FAIR-04</w:t>
            </w:r>
          </w:p>
        </w:tc>
        <w:tc>
          <w:tcPr>
            <w:tcW w:type="dxa" w:w="5386"/>
          </w:tcPr>
          <w:p>
            <w:pPr>
              <w:spacing w:line="240" w:lineRule="auto"/>
            </w:pPr>
            <w:r/>
            <w:r>
              <w:rPr>
                <w:rFonts w:ascii="Times New Roman" w:hAnsi="Times New Roman" w:eastAsia="Times New Roman"/>
                <w:b w:val="0"/>
                <w:i w:val="0"/>
                <w:sz w:val="22"/>
                <w:u w:val="none"/>
              </w:rPr>
              <w:t>Before release, the credit risk model must be tested against deliberately constructed edge-case and adversarial applicant profiles, not evaluated on overall statistical accuracy alone.</w:t>
            </w:r>
          </w:p>
        </w:tc>
        <w:tc>
          <w:tcPr>
            <w:tcW w:type="dxa" w:w="1361"/>
          </w:tcPr>
          <w:p>
            <w:pPr>
              <w:spacing w:line="240" w:lineRule="auto"/>
            </w:pPr>
            <w:r/>
            <w:r>
              <w:rPr>
                <w:rFonts w:ascii="Times New Roman" w:hAnsi="Times New Roman" w:eastAsia="Times New Roman"/>
                <w:b w:val="0"/>
                <w:i w:val="0"/>
                <w:sz w:val="22"/>
                <w:u w:val="none"/>
              </w:rPr>
              <w:t>RISK</w:t>
            </w:r>
          </w:p>
        </w:tc>
      </w:tr>
    </w:tbl>
    <w:p>
      <w:pPr>
        <w:spacing w:after="80"/>
      </w:pPr>
    </w:p>
    <w:p>
      <w:r>
        <w:br w:type="page"/>
      </w:r>
    </w:p>
    <w:p>
      <w:pPr>
        <w:keepNext/>
        <w:pageBreakBefore w:val="0"/>
        <w:spacing w:before="360" w:after="240"/>
        <w:jc w:val="left"/>
      </w:pPr>
      <w:r>
        <w:rPr>
          <w:rFonts w:ascii="Times New Roman" w:hAnsi="Times New Roman" w:eastAsia="Times New Roman"/>
          <w:b/>
          <w:i w:val="0"/>
          <w:sz w:val="32"/>
          <w:u w:val="none"/>
        </w:rPr>
        <w:t>References</w:t>
      </w:r>
    </w:p>
    <w:p>
      <w:pPr>
        <w:spacing w:after="160" w:line="360" w:lineRule="auto"/>
        <w:ind w:left="567" w:hanging="567"/>
      </w:pPr>
      <w:r>
        <w:rPr>
          <w:rFonts w:ascii="Times New Roman" w:hAnsi="Times New Roman" w:eastAsia="Times New Roman"/>
          <w:b w:val="0"/>
          <w:i w:val="0"/>
          <w:sz w:val="24"/>
          <w:u w:val="none"/>
        </w:rPr>
        <w:t>Central Bank of Sri Lanka (2021) Annual Report 2021: Box 11 - The FinTech Invasion. Colombo: Central Bank of Sri Lanka.</w:t>
      </w:r>
    </w:p>
    <w:p>
      <w:pPr>
        <w:spacing w:after="160" w:line="360" w:lineRule="auto"/>
        <w:ind w:left="567" w:hanging="567"/>
      </w:pPr>
      <w:r>
        <w:rPr>
          <w:rFonts w:ascii="Times New Roman" w:hAnsi="Times New Roman" w:eastAsia="Times New Roman"/>
          <w:b w:val="0"/>
          <w:i w:val="0"/>
          <w:sz w:val="24"/>
          <w:u w:val="none"/>
        </w:rPr>
        <w:t>Chawla, N.V., Bowyer, K.W., Hall, L.O. and Kegelmeyer, W.P. (2002) 'SMOTE: Synthetic Minority Over-sampling Technique', Journal of Artificial Intelligence Research, 16, pp.321-357.</w:t>
      </w:r>
    </w:p>
    <w:p>
      <w:pPr>
        <w:spacing w:after="160" w:line="360" w:lineRule="auto"/>
        <w:ind w:left="567" w:hanging="567"/>
      </w:pPr>
      <w:r>
        <w:rPr>
          <w:rFonts w:ascii="Times New Roman" w:hAnsi="Times New Roman" w:eastAsia="Times New Roman"/>
          <w:b w:val="0"/>
          <w:i w:val="0"/>
          <w:sz w:val="24"/>
          <w:u w:val="none"/>
        </w:rPr>
        <w:t>Chen, T. and Guestrin, C. (2016) 'XGBoost: A Scalable Tree Boosting System', in Proceedings of the 22nd ACM SIGKDD International Conference on Knowledge Discovery and Data Mining. San Francisco, 13-17 August 2016, pp.785-794.</w:t>
      </w:r>
    </w:p>
    <w:p>
      <w:pPr>
        <w:spacing w:after="160" w:line="360" w:lineRule="auto"/>
        <w:ind w:left="567" w:hanging="567"/>
      </w:pPr>
      <w:r>
        <w:rPr>
          <w:rFonts w:ascii="Times New Roman" w:hAnsi="Times New Roman" w:eastAsia="Times New Roman"/>
          <w:b w:val="0"/>
          <w:i w:val="0"/>
          <w:sz w:val="24"/>
          <w:u w:val="none"/>
        </w:rPr>
        <w:t>Credit Information Bureau of Sri Lanka (n.d.) Credit Information Bureau of Sri Lanka. Available at: https://www.crib.lk (Accessed: 7 August 2026).</w:t>
      </w:r>
    </w:p>
    <w:p>
      <w:pPr>
        <w:spacing w:after="160" w:line="360" w:lineRule="auto"/>
        <w:ind w:left="567" w:hanging="567"/>
      </w:pPr>
      <w:r>
        <w:rPr>
          <w:rFonts w:ascii="Times New Roman" w:hAnsi="Times New Roman" w:eastAsia="Times New Roman"/>
          <w:b w:val="0"/>
          <w:i w:val="0"/>
          <w:sz w:val="24"/>
          <w:u w:val="none"/>
        </w:rPr>
        <w:t>Fairooz, H.M.M. and Wickramasinghe, C.N. (2019) 'Innovation and Development of Digital Finance: A Review on Digital Transformation in Banking &amp; Financial Sector of Sri Lanka', Asian Journal of Economics, Finance and Management, 1(2), pp.69-78.</w:t>
      </w:r>
    </w:p>
    <w:p>
      <w:pPr>
        <w:spacing w:after="160" w:line="360" w:lineRule="auto"/>
        <w:ind w:left="567" w:hanging="567"/>
      </w:pPr>
      <w:r>
        <w:rPr>
          <w:rFonts w:ascii="Times New Roman" w:hAnsi="Times New Roman" w:eastAsia="Times New Roman"/>
          <w:b w:val="0"/>
          <w:i w:val="0"/>
          <w:sz w:val="24"/>
          <w:u w:val="none"/>
        </w:rPr>
        <w:t>Lessmann, S., Baesens, B., Seow, H.V. and Thomas, L.C. (2015) 'Benchmarking state-of-the-art classification algorithms for credit scoring: An update of research', European Journal of Operational Research, 247(1), pp.124-136.</w:t>
      </w:r>
    </w:p>
    <w:p>
      <w:pPr>
        <w:spacing w:after="160" w:line="360" w:lineRule="auto"/>
        <w:ind w:left="567" w:hanging="567"/>
      </w:pPr>
      <w:r>
        <w:rPr>
          <w:rFonts w:ascii="Times New Roman" w:hAnsi="Times New Roman" w:eastAsia="Times New Roman"/>
          <w:b w:val="0"/>
          <w:i w:val="0"/>
          <w:sz w:val="24"/>
          <w:u w:val="none"/>
        </w:rPr>
        <w:t>Lundberg, S.M. and Lee, S.-I. (2017) 'A Unified Approach to Interpreting Model Predictions', in Advances in Neural Information Processing Systems, 30. Curran Associates, Inc.</w:t>
      </w:r>
    </w:p>
    <w:p>
      <w:pPr>
        <w:spacing w:after="160" w:line="360" w:lineRule="auto"/>
        <w:ind w:left="567" w:hanging="567"/>
      </w:pPr>
      <w:r>
        <w:rPr>
          <w:rFonts w:ascii="Times New Roman" w:hAnsi="Times New Roman" w:eastAsia="Times New Roman"/>
          <w:b w:val="0"/>
          <w:i w:val="0"/>
          <w:sz w:val="24"/>
          <w:u w:val="none"/>
        </w:rPr>
        <w:t>Ribeiro, M.T., Singh, S. and Guestrin, C. (2016) '"Why Should I Trust You?": Explaining the Predictions of Any Classifier', in Proceedings of the 22nd ACM SIGKDD International Conference on Knowledge Discovery and Data Mining. San Francisco, 13-17 August 2016, pp.1135-1144.</w:t>
      </w:r>
    </w:p>
    <w:p>
      <w:pPr>
        <w:spacing w:after="160" w:line="360" w:lineRule="auto"/>
        <w:ind w:left="567" w:hanging="567"/>
      </w:pPr>
      <w:r>
        <w:rPr>
          <w:rFonts w:ascii="Times New Roman" w:hAnsi="Times New Roman" w:eastAsia="Times New Roman"/>
          <w:b w:val="0"/>
          <w:i w:val="0"/>
          <w:sz w:val="24"/>
          <w:u w:val="none"/>
        </w:rPr>
        <w:t>Thomas, L.C. (2000) 'A survey of credit and behavioural scoring: forecasting financial risk of lending to consumers', International Journal of Forecasting, 16(2), pp.149-172.</w:t>
      </w:r>
    </w:p>
    <w:sectPr w:rsidR="00FC693F" w:rsidRPr="0006063C" w:rsidSect="00034616">
      <w:footerReference w:type="default" r:id="rId9"/>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