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5B6778"/>
          <w:sz w:val="24"/>
        </w:rPr>
        <w:t>DSP391m — DATA SCIENCE CAPSTONE PROJECT</w:t>
      </w:r>
    </w:p>
    <w:p>
      <w:pPr>
        <w:spacing w:after="80"/>
        <w:jc w:val="center"/>
      </w:pPr>
      <w:r>
        <w:rPr>
          <w:b/>
          <w:color w:val="1B4965"/>
          <w:sz w:val="38"/>
        </w:rPr>
        <w:t>Vietnamese Voice Cloning Studio: Objective Benchmarking of Zero-Shot Text-to-Speech with F5-TTS ViVoice</w:t>
      </w:r>
    </w:p>
    <w:p>
      <w:pPr>
        <w:spacing w:after="40"/>
        <w:jc w:val="center"/>
      </w:pPr>
      <w:r>
        <w:rPr>
          <w:i/>
          <w:sz w:val="24"/>
        </w:rPr>
        <w:t>Report 3 — Model Development · Evaluation &amp; Fine-Tuning · Results · Conclusion</w:t>
      </w:r>
    </w:p>
    <w:p>
      <w:pPr>
        <w:jc w:val="center"/>
      </w:pPr>
      <w:r>
        <w:rPr>
          <w:sz w:val="22"/>
        </w:rPr>
        <w:t>Group 4 · FPT University · Summer 2026</w:t>
      </w:r>
    </w:p>
    <w:p/>
    <w:p>
      <w:pPr>
        <w:pStyle w:val="Heading1"/>
      </w:pPr>
      <w:r>
        <w:t>Project Title</w:t>
      </w:r>
    </w:p>
    <w:p>
      <w:pPr>
        <w:jc w:val="both"/>
      </w:pPr>
      <w:r>
        <w:rPr>
          <w:i w:val="0"/>
        </w:rPr>
        <w:t>Vietnamese Voice Cloning Studio — a bilingual web application that clones a Vietnamese speaker's voice from a short reference recording using F5-TTS, and benchmarks it against five additional text-to-speech engines under identical inputs with an objective, reproducible evaluation harness.</w:t>
      </w:r>
    </w:p>
    <w:p>
      <w:pPr>
        <w:pStyle w:val="Heading1"/>
      </w:pPr>
      <w:r>
        <w:t>Team Members</w:t>
      </w:r>
    </w:p>
    <w:p>
      <w:pPr>
        <w:jc w:val="both"/>
      </w:pPr>
      <w:r>
        <w:rPr>
          <w:i/>
          <w:color w:val="5B6778"/>
        </w:rPr>
        <w:t>Group 4, DSP391m. Please complete the table below with each member's full name (first, then last) and role before submission.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B496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No.</w:t>
            </w:r>
          </w:p>
        </w:tc>
        <w:tc>
          <w:tcPr>
            <w:tcW w:type="dxa" w:w="3120"/>
            <w:shd w:val="clear" w:fill="1B496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Full name</w:t>
            </w:r>
          </w:p>
        </w:tc>
        <w:tc>
          <w:tcPr>
            <w:tcW w:type="dxa" w:w="3120"/>
            <w:shd w:val="clear" w:fill="1B496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Role / responsibility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color w:val="5B6778"/>
                <w:sz w:val="21"/>
              </w:rPr>
              <w:t>⟨member name⟩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Modeling &amp; inference pipeline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color w:val="5B6778"/>
                <w:sz w:val="21"/>
              </w:rPr>
              <w:t>⟨member name⟩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Data preparation &amp; fine-tuning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color w:val="5B6778"/>
                <w:sz w:val="21"/>
              </w:rPr>
              <w:t>⟨member name⟩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Evaluation &amp; visualization</w:t>
            </w:r>
          </w:p>
        </w:tc>
      </w:tr>
    </w:tbl>
    <w:p/>
    <w:p>
      <w:pPr>
        <w:pStyle w:val="Heading1"/>
      </w:pPr>
      <w:r>
        <w:t>1.  Introduction and Background</w:t>
      </w:r>
    </w:p>
    <w:p>
      <w:pPr>
        <w:jc w:val="both"/>
      </w:pPr>
      <w:r>
        <w:rPr>
          <w:b/>
          <w:color w:val="1B4965"/>
        </w:rPr>
        <w:t xml:space="preserve">Objective: </w:t>
      </w:r>
      <w:r>
        <w:t>Build a Vietnamese zero-shot voice-cloning TTS system centered on F5-TTS ViVoice and quantify its quality against five baseline engines using objective, reproducible metrics (word/character error rate, speaker similarity, and generation speed).</w:t>
      </w:r>
    </w:p>
    <w:p>
      <w:pPr>
        <w:jc w:val="both"/>
      </w:pPr>
      <w:r>
        <w:rPr>
          <w:b/>
          <w:color w:val="1B4965"/>
        </w:rPr>
        <w:t xml:space="preserve">Motivation: </w:t>
      </w:r>
      <w:r>
        <w:t>Voice cloning enables accessibility tools, dubbing and personalized assistants, yet Vietnamese is under-served. The language's six tones and dense diacritics make both synthesis and its evaluation hard — a single mispronounced tone can change a word's meaning — so a rigorous, tone-aware evaluation is as valuable as the model itself.</w:t>
      </w:r>
    </w:p>
    <w:p>
      <w:pPr>
        <w:jc w:val="both"/>
      </w:pPr>
      <w:r>
        <w:rPr>
          <w:b/>
          <w:color w:val="1B4965"/>
        </w:rPr>
        <w:t xml:space="preserve">Background Information: </w:t>
      </w:r>
      <w:r>
        <w:t>Modern non-autoregressive TTS pairs a transformer backbone with a generative objective. F5-TTS uses a Diffusion Transformer (DiT) trained with a Conditional Flow-Matching (CFM) objective and a Vocos 24 kHz vocoder. The Vietnamese checkpoint hynt/F5-TTS-Vietnamese-ViVoice is pre-trained on roughly 1,000 hours of Vietnamese speech and released under CC-BY-NC-SA-4.0 for non-commercial research.</w:t>
      </w:r>
    </w:p>
    <w:p>
      <w:pPr>
        <w:pStyle w:val="Heading1"/>
      </w:pPr>
      <w:r>
        <w:t>2.  Literature Review</w:t>
      </w:r>
    </w:p>
    <w:p>
      <w:pPr>
        <w:jc w:val="both"/>
      </w:pPr>
      <w:r>
        <w:rPr>
          <w:i w:val="0"/>
        </w:rPr>
        <w:t>F5-TTS [1] demonstrates that a DiT [3] trained with flow matching [2] produces fluent, faithful speech without the alignment modules of earlier systems; Vocos [4] closes the quality gap between time-domain and Fourier-based neural vocoders. For zero-shot cloning, XTTS-v2 [5] is a strong multilingual competitor. Single-speaker baselines include Meta's MMS-TTS [6], the local ONNX voice Piper [9], Microsoft's cloud Edge-TTS, and Bark [8] (no Vietnamese support, used as a lower bound). Evaluation builds on Whisper [7] for the ASR round-trip and a GE2E-style speaker encoder [11] for identity similarity.</w:t>
      </w:r>
    </w:p>
    <w:p>
      <w:pPr>
        <w:jc w:val="both"/>
      </w:pPr>
      <w:r>
        <w:rPr>
          <w:i w:val="0"/>
        </w:rPr>
        <w:t>Gap addressed: published Vietnamese TTS work rarely reports a like-for-like, fully-reproducible objective comparison across cloning and fixed-voice engines under identical text, seed and reference. This project contributes exactly such a harness.</w:t>
      </w:r>
    </w:p>
    <w:p>
      <w:pPr>
        <w:pStyle w:val="Heading1"/>
      </w:pPr>
      <w:r>
        <w:t>3.  Data Description</w:t>
      </w:r>
    </w:p>
    <w:p>
      <w:pPr>
        <w:jc w:val="both"/>
      </w:pPr>
      <w:r>
        <w:rPr>
          <w:b/>
          <w:color w:val="1B4965"/>
        </w:rPr>
        <w:t xml:space="preserve">Source: </w:t>
      </w:r>
      <w:r>
        <w:t>Three data roles are distinguished. (a) Pre-training corpus: ViVoice (~1,000 h Vietnamese), used only via the released checkpoint. (b) Evaluation data: a fixed clean reference sample (reference_audio/sample_clean_vi.wav) and a fixed benchmark sentence. (c) Fine-tuning data: 30–60 minutes of single-speaker audio, to be collected.</w:t>
      </w:r>
    </w:p>
    <w:p>
      <w:pPr>
        <w:jc w:val="both"/>
      </w:pPr>
      <w:r>
        <w:rPr>
          <w:b/>
          <w:color w:val="1B4965"/>
        </w:rPr>
        <w:t xml:space="preserve">Size and Format: </w:t>
      </w:r>
      <w:r>
        <w:t>Audio is mono WAV at 24 kHz. Text metadata uses a pipe-delimited CSV (audio_path | transcript). The model vocabulary is a plain-text file (~2.5k tokens) covering accented Vietnamese characters plus inherited pinyin tokens.</w:t>
      </w:r>
    </w:p>
    <w:p>
      <w:pPr>
        <w:jc w:val="both"/>
      </w:pPr>
      <w:r>
        <w:rPr>
          <w:b/>
          <w:color w:val="1B4965"/>
        </w:rPr>
        <w:t xml:space="preserve">Features: </w:t>
      </w:r>
      <w:r>
        <w:t>Per sample: (i) the raw 24 kHz waveform → a 100-band mel-spectrogram front-end (n_fft 1024, hop 256, win 1024); (ii) the transcript, tokenized with the model's convert_char_to_pinyin scheme; and (iii) the sequence length used for masking.</w:t>
      </w:r>
    </w:p>
    <w:p>
      <w:pPr>
        <w:pStyle w:val="Heading1"/>
      </w:pPr>
      <w:r>
        <w:t>4.  Data Cleaning and Preprocessing</w:t>
      </w:r>
    </w:p>
    <w:p>
      <w:pPr>
        <w:jc w:val="both"/>
      </w:pPr>
      <w:r>
        <w:rPr>
          <w:i w:val="0"/>
        </w:rPr>
        <w:t>Audio preprocessing reuses the library's validated preprocess_ref_audio_text (silence trimming, resampling to 24 kHz mono, level normalization). Text is normalized to Unicode NFC with Vietnamese diacritics preserved; whitespace and punctuation are regularized. Long inputs pass through boundary-aware chunking that protects URLs, e-mails, decimals, dates and abbreviations from being split.</w:t>
      </w:r>
    </w:p>
    <w:p>
      <w:pPr>
        <w:jc w:val="both"/>
      </w:pPr>
      <w:r>
        <w:rPr>
          <w:b/>
          <w:i w:val="0"/>
        </w:rPr>
        <w:t xml:space="preserve">Challenge resolved — quarantined synthetic data. </w:t>
      </w:r>
      <w:r>
        <w:rPr>
          <w:b w:val="0"/>
          <w:i w:val="0"/>
        </w:rPr>
        <w:t>An earlier iteration accidentally trained on synthetic sine/tone signals mislabeled as speech, corrupting the model. All such files were moved to a quarantined directory and are blocked from the pipeline unless an explicitly named technical-test flag is passed, so they can never again be mistaken for real training data.</w:t>
      </w:r>
    </w:p>
    <w:p>
      <w:pPr>
        <w:pStyle w:val="Heading1"/>
      </w:pPr>
      <w:r>
        <w:t>5.  Exploratory Data Analysis (EDA)</w:t>
      </w:r>
    </w:p>
    <w:p>
      <w:pPr>
        <w:jc w:val="both"/>
      </w:pPr>
      <w:r>
        <w:rPr>
          <w:i w:val="0"/>
        </w:rPr>
        <w:t>Because the signal is audio, EDA relies on objective per-clip metrics — duration, RMS level, peak, clipping ratio and spectral flatness — computed directly on the waveform. Spectral flatness is the key discriminator: structured human speech sits around 0.10–0.15, whereas near-monotone or noisy signals collapse toward zero. This single metric exposed the corrupted-checkpoint defect (flatness ≈ 0.0019) and later confirmed the fix (flatness restored to ≈ 0.11–0.14, matching the real reference sample).</w:t>
      </w:r>
    </w:p>
    <w:p>
      <w:pPr>
        <w:jc w:val="both"/>
      </w:pPr>
      <w:r>
        <w:rPr>
          <w:i w:val="0"/>
        </w:rPr>
        <w:t>These metrics also act as automatic guardrails during evaluation: a clip that is silent, clipped, or non-finite is flagged before any error-rate is computed, so degenerate output cannot masquerade as a valid result.</w:t>
      </w:r>
    </w:p>
    <w:p>
      <w:pPr>
        <w:pStyle w:val="Heading1"/>
      </w:pPr>
      <w:r>
        <w:t>6.  Methodology</w:t>
      </w:r>
    </w:p>
    <w:p>
      <w:pPr>
        <w:jc w:val="both"/>
      </w:pPr>
      <w:r>
        <w:rPr>
          <w:b/>
          <w:color w:val="1B4965"/>
        </w:rPr>
        <w:t xml:space="preserve">Model Selection: </w:t>
      </w:r>
      <w:r>
        <w:t>F5-TTS ViVoice is the primary model because it uniquely combines zero-shot cloning (a short reference suffices, no per-speaker training), strong Vietnamese pre-training, a state-of-the-art DiT+CFM backbone, and a research-permissive license. The five baselines were chosen to span the trade-off space: XTTS-v2 (competing cloning), MMS/Piper/Edge (fast fixed-voice TTS) and Bark (deliberate weak floor).</w:t>
      </w:r>
    </w:p>
    <w:p>
      <w:pPr>
        <w:jc w:val="both"/>
      </w:pPr>
      <w:r>
        <w:rPr>
          <w:b/>
          <w:color w:val="1B4965"/>
        </w:rPr>
        <w:t xml:space="preserve">Data Splitting Strategy: </w:t>
      </w:r>
      <w:r>
        <w:t>For fine-tuning, a deterministic 90/10 train/validation split is drawn with a fixed random generator (seed 42), so every run yields the same split and results are comparable. Model selection uses validation loss, not training loss.</w:t>
      </w:r>
    </w:p>
    <w:p>
      <w:pPr>
        <w:jc w:val="both"/>
      </w:pPr>
      <w:r>
        <w:rPr>
          <w:b/>
          <w:color w:val="1B4965"/>
        </w:rPr>
        <w:t xml:space="preserve">Feature Engineering and Selection: </w:t>
      </w:r>
      <w:r>
        <w:t>Two engineered representations are central: the 100-band mel-spectrogram (audio side) and the pinyin-style character tokenization (text side). Text normalization and protected-token masking are the main hand-designed features; the architecture (mel bins, tokenizer) is fixed to match the pre-trained checkpoint and is not tuned.</w:t>
      </w:r>
    </w:p>
    <w:p>
      <w:pPr>
        <w:pStyle w:val="Heading1"/>
      </w:pPr>
      <w:r>
        <w:t>7.  Model Development</w:t>
      </w:r>
    </w:p>
    <w:p>
      <w:pPr>
        <w:pStyle w:val="Heading2"/>
      </w:pPr>
      <w:r>
        <w:t>7.1  Model Architecture</w:t>
      </w:r>
    </w:p>
    <w:p>
      <w:pPr>
        <w:jc w:val="both"/>
      </w:pPr>
      <w:r>
        <w:rPr>
          <w:i w:val="0"/>
        </w:rPr>
        <w:t>The architecture is loaded verbatim from the library's F5TTS_Base.yaml so it matches the pre-trained checkpoint exactly:</w:t>
      </w:r>
    </w:p>
    <w:p>
      <w:pPr>
        <w:spacing w:after="0"/>
      </w:pPr>
      <w:r>
        <w:rPr>
          <w:rFonts w:ascii="Consolas" w:hAnsi="Consolas"/>
          <w:sz w:val="19"/>
        </w:rPr>
        <w:t>CFM (Conditional Flow-Matching) wrapper</w:t>
      </w:r>
    </w:p>
    <w:p>
      <w:pPr>
        <w:spacing w:after="0"/>
      </w:pPr>
      <w:r>
        <w:rPr>
          <w:rFonts w:ascii="Consolas" w:hAnsi="Consolas"/>
          <w:sz w:val="19"/>
        </w:rPr>
        <w:t xml:space="preserve">  └─ DiT backbone: dim=1024, depth=22, heads=16, ff_mult=2,</w:t>
      </w:r>
    </w:p>
    <w:p>
      <w:pPr>
        <w:spacing w:after="0"/>
      </w:pPr>
      <w:r>
        <w:rPr>
          <w:rFonts w:ascii="Consolas" w:hAnsi="Consolas"/>
          <w:sz w:val="19"/>
        </w:rPr>
        <w:t xml:space="preserve">                   text_dim=512, conv_layers=4,</w:t>
      </w:r>
    </w:p>
    <w:p>
      <w:pPr>
        <w:spacing w:after="0"/>
      </w:pPr>
      <w:r>
        <w:rPr>
          <w:rFonts w:ascii="Consolas" w:hAnsi="Consolas"/>
          <w:sz w:val="19"/>
        </w:rPr>
        <w:t xml:space="preserve">                   text_mask_padding=false,  pe_attn_head=1   (compatibility-critical)</w:t>
      </w:r>
    </w:p>
    <w:p>
      <w:pPr>
        <w:spacing w:after="0"/>
      </w:pPr>
      <w:r>
        <w:rPr>
          <w:rFonts w:ascii="Consolas" w:hAnsi="Consolas"/>
          <w:sz w:val="19"/>
        </w:rPr>
        <w:t xml:space="preserve">  └─ Vocoder: Vocos @ 24 kHz (mel → waveform)</w:t>
      </w:r>
    </w:p>
    <w:p>
      <w:pPr>
        <w:spacing w:after="0"/>
      </w:pPr>
      <w:r>
        <w:rPr>
          <w:rFonts w:ascii="Consolas" w:hAnsi="Consolas"/>
          <w:sz w:val="19"/>
        </w:rPr>
        <w:t>Parameters ≈ 336M · front-end: n_fft=1024, hop=256, win=1024, n_mel=100</w:t>
      </w:r>
    </w:p>
    <w:p/>
    <w:p>
      <w:pPr>
        <w:jc w:val="both"/>
      </w:pPr>
      <w:r>
        <w:rPr>
          <w:b/>
          <w:i w:val="0"/>
        </w:rPr>
        <w:t xml:space="preserve">Compatibility invariant. </w:t>
      </w:r>
      <w:r>
        <w:rPr>
          <w:b w:val="0"/>
          <w:i w:val="0"/>
        </w:rPr>
        <w:t>The two fields text_mask_padding=false and pe_attn_head=1 must not be changed. When omitted, DiT reverts to v1 defaults and the forward pass silently mis-computes despite correctly-shaped weights, degrading output to a near-monotone signal (spectral flatness ≈ 0.0019). Restoring the exact architecture returns flatness to the human-speech range. This was one of the two principal defects diagnosed and fixed during development.</w:t>
      </w:r>
    </w:p>
    <w:p>
      <w:pPr>
        <w:pStyle w:val="Heading2"/>
      </w:pPr>
      <w:r>
        <w:t>7.2  Training Procedure</w:t>
      </w:r>
    </w:p>
    <w:p>
      <w:pPr>
        <w:jc w:val="both"/>
      </w:pPr>
      <w:r>
        <w:rPr>
          <w:i w:val="0"/>
        </w:rPr>
        <w:t>The fine-tuning objective is single-speaker adaptation while avoiding catastrophic forgetting. The pipeline runs: metadata manifest → deterministic train/validation split → padding-aware collation → CFM flow-matching loss → mixed-precision back-propagation with gradient accumulation → gradient clipping → warm-up-then-cosine learning-rate schedule → checkpoint selection by validation loss. Exponential-moving-average weights are loaded from the official checkpoint; NaN/Inf losses abort immediately; each checkpoint records a JSON manifest of base model, architecture, vocabulary size, config, git commit, step, validation loss and dataset summary for full provenance.</w:t>
      </w:r>
    </w:p>
    <w:p>
      <w:pPr>
        <w:jc w:val="both"/>
      </w:pPr>
      <w:r>
        <w:rPr>
          <w:i/>
          <w:color w:val="5B6778"/>
        </w:rPr>
        <w:t>Honest status: the pipeline is hardened and unit-tested at the component level but has not yet been verified end-to-end on real speaker data with a GPU (blocked by the absence of collected speech). Accordingly, the results in Section 9 characterize the zero-shot base model, not a fine-tuned one; no fine-tuning improvement is claimed.</w:t>
      </w:r>
    </w:p>
    <w:p>
      <w:pPr>
        <w:pStyle w:val="Heading1"/>
      </w:pPr>
      <w:r>
        <w:t>8.  Model Evaluation and Fine-Tuning</w:t>
      </w:r>
    </w:p>
    <w:p>
      <w:pPr>
        <w:pStyle w:val="Heading2"/>
      </w:pPr>
      <w:r>
        <w:t>8.1  Evaluation Metrics</w:t>
      </w:r>
    </w:p>
    <w:p>
      <w:pPr>
        <w:jc w:val="both"/>
      </w:pPr>
      <w:r>
        <w:rPr>
          <w:i w:val="0"/>
        </w:rPr>
        <w:t>Generative speech has no single ground-truth label, so quality is measured through objective proxies on two core axes plus speed:</w:t>
      </w:r>
    </w:p>
    <w:p>
      <w:pPr>
        <w:pStyle w:val="ListBullet"/>
        <w:jc w:val="both"/>
      </w:pPr>
      <w:r>
        <w:t>Intelligibility — WER and CER via an ASR round-trip: Whisper (small, beam 5, language=vi) re-transcribes the generated audio and the transcript is compared to the reference text with edit distance (jiwer, with an equivalent offline fallback). Vietnamese diacritics are preserved by default.</w:t>
      </w:r>
    </w:p>
    <w:p>
      <w:pPr>
        <w:pStyle w:val="ListBullet"/>
        <w:jc w:val="both"/>
      </w:pPr>
      <w:r>
        <w:t>Speaker identity — SECS: cosine similarity between Resemblyzer embeddings of the generated and reference audio. It is a relative similarity score, not biometric proof.</w:t>
      </w:r>
    </w:p>
    <w:p>
      <w:pPr>
        <w:pStyle w:val="ListBullet"/>
        <w:jc w:val="both"/>
      </w:pPr>
      <w:r>
        <w:t>Speed — real-time factor, RTF = inference time ÷ audio duration (RTF &lt; 1 is faster than real time).</w:t>
      </w:r>
    </w:p>
    <w:p>
      <w:pPr>
        <w:pStyle w:val="ListBullet"/>
        <w:jc w:val="both"/>
      </w:pPr>
      <w:r>
        <w:t>Signal guardrails — RMS, peak, clipping ratio and spectral flatness screen for degenerate output before error rates are computed.</w:t>
      </w:r>
    </w:p>
    <w:p>
      <w:pPr>
        <w:pStyle w:val="Heading2"/>
      </w:pPr>
      <w:r>
        <w:t>8.2  Hyperparameter Tuning</w:t>
      </w:r>
    </w:p>
    <w:p>
      <w:pPr>
        <w:jc w:val="both"/>
      </w:pPr>
      <w:r>
        <w:rPr>
          <w:i w:val="0"/>
        </w:rPr>
        <w:t>Inference hyper-parameters are tunable today: the number of flow-matching ODE steps (NFE, default 32, raised to 48–64 for long/hard sentences to reduce late-sentence drift), the random seed (fixed at 42 for reproducibility and fair cross-engine comparison), the chunk length (≈280 characters) and inter-chunk silence (180 ms). Training hyper-parameters (for a T4 16 GB GPU) are summarized in Table 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B496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Hyper-parameter</w:t>
            </w:r>
          </w:p>
        </w:tc>
        <w:tc>
          <w:tcPr>
            <w:tcW w:type="dxa" w:w="3120"/>
            <w:shd w:val="clear" w:fill="1B496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3120"/>
            <w:shd w:val="clear" w:fill="1B4965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Rationale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/>
                <w:sz w:val="21"/>
              </w:rPr>
              <w:t>Learning rate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1e-5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Small LR for fine-tuning; avoids forgetting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/>
                <w:sz w:val="21"/>
              </w:rPr>
              <w:t>Batch × grad-accum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 × 8 = 8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Effective batch under limited VRAM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/>
                <w:sz w:val="21"/>
              </w:rPr>
              <w:t>Warm-up steps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Linear 0→LR for early stability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/>
                <w:sz w:val="21"/>
              </w:rPr>
              <w:t>Scheduler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cosine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Anneals to min-LR 1e-7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/>
                <w:sz w:val="21"/>
              </w:rPr>
              <w:t>Max grad norm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1.0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Gradient clipping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/>
                <w:sz w:val="21"/>
              </w:rPr>
              <w:t>Mixed precision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fp16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T4 supports FP16; auto-off on CPU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b/>
                <w:sz w:val="21"/>
              </w:rPr>
              <w:t>Optimizer / seed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AdamW / 42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β=(0.9,0.999), weight decay 0.01; deterministic</w:t>
            </w:r>
          </w:p>
        </w:tc>
      </w:tr>
    </w:tbl>
    <w:p>
      <w:pPr>
        <w:spacing w:after="200"/>
        <w:jc w:val="center"/>
      </w:pPr>
      <w:r>
        <w:rPr>
          <w:i/>
          <w:color w:val="5B6778"/>
          <w:sz w:val="19"/>
        </w:rPr>
        <w:t>Table 1. Training hyper-parameters (tuned for an NVIDIA T4, 16 GB).</w:t>
      </w:r>
    </w:p>
    <w:p>
      <w:pPr>
        <w:pStyle w:val="Heading2"/>
      </w:pPr>
      <w:r>
        <w:t>8.3  Cross-Validation Techniques</w:t>
      </w:r>
    </w:p>
    <w:p>
      <w:pPr>
        <w:jc w:val="both"/>
      </w:pPr>
      <w:r>
        <w:rPr>
          <w:i w:val="0"/>
        </w:rPr>
        <w:t>Classical k-fold cross-validation is impractical for fine-tuning a 336M-parameter generative model on tens of minutes of audio (the k× training cost is prohibitive and the signal is generative, not a classification label). Its role is filled by (i) a deterministic held-out validation split monitored every epoch, with the best checkpoint chosen by validation loss, and (ii) an independent fixed test set of diverse sentences — short, numeric, decimal, date, abbreviation, proper-noun, interrogative, compound and long — for post-hoc WER/CER/SECS evaluation.</w:t>
      </w:r>
    </w:p>
    <w:p>
      <w:pPr>
        <w:pStyle w:val="Heading1"/>
      </w:pPr>
      <w:r>
        <w:t>9.  Results Interpretation and Visualization</w:t>
      </w:r>
    </w:p>
    <w:p>
      <w:pPr>
        <w:jc w:val="both"/>
      </w:pPr>
      <w:r>
        <w:rPr>
          <w:i w:val="0"/>
        </w:rPr>
        <w:t>All six engines synthesize the same 17-word sentence from the same reference sample under a fixed seed (42). Table 2 reports the objective results (values read directly from outputs/evaluation/results.json); Figures 1–4 visualize them.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1B4965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Engine</w:t>
            </w:r>
          </w:p>
        </w:tc>
        <w:tc>
          <w:tcPr>
            <w:tcW w:type="dxa" w:w="1337"/>
            <w:shd w:val="clear" w:fill="1B4965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1337"/>
            <w:shd w:val="clear" w:fill="1B4965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WER ↓</w:t>
            </w:r>
          </w:p>
        </w:tc>
        <w:tc>
          <w:tcPr>
            <w:tcW w:type="dxa" w:w="1337"/>
            <w:shd w:val="clear" w:fill="1B4965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CER ↓</w:t>
            </w:r>
          </w:p>
        </w:tc>
        <w:tc>
          <w:tcPr>
            <w:tcW w:type="dxa" w:w="1337"/>
            <w:shd w:val="clear" w:fill="1B4965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SECS ↑</w:t>
            </w:r>
          </w:p>
        </w:tc>
        <w:tc>
          <w:tcPr>
            <w:tcW w:type="dxa" w:w="1337"/>
            <w:shd w:val="clear" w:fill="1B4965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Time (s)</w:t>
            </w:r>
          </w:p>
        </w:tc>
        <w:tc>
          <w:tcPr>
            <w:tcW w:type="dxa" w:w="1337"/>
            <w:shd w:val="clear" w:fill="1B4965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RTF ↓</w:t>
            </w:r>
          </w:p>
        </w:tc>
      </w:tr>
      <w:tr>
        <w:tc>
          <w:tcPr>
            <w:tcW w:type="dxa" w:w="1337"/>
            <w:shd w:val="clear" w:fill="E7EEF2"/>
          </w:tcPr>
          <w:p>
            <w:pPr>
              <w:jc w:val="left"/>
            </w:pPr>
            <w:r/>
            <w:r>
              <w:rPr>
                <w:b/>
                <w:sz w:val="21"/>
              </w:rPr>
              <w:t>F5-TTS</w:t>
            </w:r>
          </w:p>
        </w:tc>
        <w:tc>
          <w:tcPr>
            <w:tcW w:type="dxa" w:w="1337"/>
            <w:shd w:val="clear" w:fill="E7EEF2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voice cloning</w:t>
            </w:r>
          </w:p>
        </w:tc>
        <w:tc>
          <w:tcPr>
            <w:tcW w:type="dxa" w:w="1337"/>
            <w:shd w:val="clear" w:fill="E7EEF2"/>
          </w:tcPr>
          <w:p>
            <w:pPr>
              <w:jc w:val="center"/>
            </w:pPr>
            <w:r/>
            <w:r>
              <w:rPr>
                <w:b/>
                <w:color w:val="1B4965"/>
                <w:sz w:val="21"/>
              </w:rPr>
              <w:t>0.059</w:t>
            </w:r>
          </w:p>
        </w:tc>
        <w:tc>
          <w:tcPr>
            <w:tcW w:type="dxa" w:w="1337"/>
            <w:shd w:val="clear" w:fill="E7EEF2"/>
          </w:tcPr>
          <w:p>
            <w:pPr>
              <w:jc w:val="center"/>
            </w:pPr>
            <w:r/>
            <w:r>
              <w:rPr>
                <w:b/>
                <w:color w:val="1B4965"/>
                <w:sz w:val="21"/>
              </w:rPr>
              <w:t>0.026</w:t>
            </w:r>
          </w:p>
        </w:tc>
        <w:tc>
          <w:tcPr>
            <w:tcW w:type="dxa" w:w="1337"/>
            <w:shd w:val="clear" w:fill="E7EEF2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0.837</w:t>
            </w:r>
          </w:p>
        </w:tc>
        <w:tc>
          <w:tcPr>
            <w:tcW w:type="dxa" w:w="1337"/>
            <w:shd w:val="clear" w:fill="E7EEF2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193.0</w:t>
            </w:r>
          </w:p>
        </w:tc>
        <w:tc>
          <w:tcPr>
            <w:tcW w:type="dxa" w:w="1337"/>
            <w:shd w:val="clear" w:fill="E7EEF2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45.12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b/>
                <w:sz w:val="21"/>
              </w:rPr>
              <w:t>XTTS-v2</w:t>
            </w:r>
          </w:p>
        </w:tc>
        <w:tc>
          <w:tcPr>
            <w:tcW w:type="dxa" w:w="1337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voice cloning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0.118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0.065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color w:val="1B4965"/>
                <w:sz w:val="21"/>
              </w:rPr>
              <w:t>0.888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36.2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8.48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b/>
                <w:sz w:val="21"/>
              </w:rPr>
              <w:t>MMS-TTS</w:t>
            </w:r>
          </w:p>
        </w:tc>
        <w:tc>
          <w:tcPr>
            <w:tcW w:type="dxa" w:w="1337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fixed voice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0.118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0.601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3.9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0.61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b/>
                <w:sz w:val="21"/>
              </w:rPr>
              <w:t>Piper</w:t>
            </w:r>
          </w:p>
        </w:tc>
        <w:tc>
          <w:tcPr>
            <w:tcW w:type="dxa" w:w="1337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fixed voice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0.118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0.052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0.615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2.1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0.59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b/>
                <w:sz w:val="21"/>
              </w:rPr>
              <w:t>Edge-TTS</w:t>
            </w:r>
          </w:p>
        </w:tc>
        <w:tc>
          <w:tcPr>
            <w:tcW w:type="dxa" w:w="1337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cloud, fixed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0.118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0.065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0.561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3.0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0.65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b/>
                <w:sz w:val="21"/>
              </w:rPr>
              <w:t>Bark</w:t>
            </w:r>
          </w:p>
        </w:tc>
        <w:tc>
          <w:tcPr>
            <w:tcW w:type="dxa" w:w="1337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fixed (no VI)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1.176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0.844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0.480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167.2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11.59</w:t>
            </w:r>
          </w:p>
        </w:tc>
      </w:tr>
    </w:tbl>
    <w:p>
      <w:pPr>
        <w:spacing w:after="200"/>
        <w:jc w:val="center"/>
      </w:pPr>
      <w:r>
        <w:rPr>
          <w:i/>
          <w:color w:val="5B6778"/>
          <w:sz w:val="19"/>
        </w:rPr>
        <w:t>Table 2. Objective results: six engines, identical sentence / seed / reference. Blue marks the best value per column.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31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r_c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778"/>
          <w:sz w:val="19"/>
        </w:rPr>
        <w:t>Figure 1. Intelligibility via ASR round-trip. F5-TTS attains the lowest WER (5.9%); the XTTS/MMS/Piper/Edge cluster sits near 11.8%; Bark exceeds 100% (cannot read Vietnamese).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50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er_simila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778"/>
          <w:sz w:val="19"/>
        </w:rPr>
        <w:t>Figure 2. Speaker similarity (SECS). Only F5-TTS (0.837) and XTTS-v2 (0.888) enter the voice-cloning region (&gt;0.75); fixed-voice engines score ≈0.56–0.62.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50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rt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778"/>
          <w:sz w:val="19"/>
        </w:rPr>
        <w:t>Figure 3. Generation speed (RTF, log scale). Piper/MMS/Edge run faster than real time on CPU; F5-TTS is slowest (quality and multi-step flow matching), expected to drop on GPU.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96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9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778"/>
          <w:sz w:val="19"/>
        </w:rPr>
        <w:t>Figure 4. The central trade-off — intelligibility (1−WER) vs. speaker identity; bubble size ∝ speed. Only F5-TTS and XTTS-v2 reach the top-right; Bark falls to the bottom.</w:t>
      </w:r>
    </w:p>
    <w:p>
      <w:pPr>
        <w:pStyle w:val="Heading2"/>
      </w:pPr>
      <w:r>
        <w:t>9.1  Insights and Implications</w:t>
      </w:r>
    </w:p>
    <w:p>
      <w:pPr>
        <w:pStyle w:val="ListBullet"/>
        <w:jc w:val="both"/>
      </w:pPr>
      <w:r>
        <w:t>F5-TTS wins on balance — the only engine simultaneously the most intelligible (WER 5.9%) and near the top on identity (SECS 0.837), exactly the joint objective of voice cloning.</w:t>
      </w:r>
    </w:p>
    <w:p>
      <w:pPr>
        <w:pStyle w:val="ListBullet"/>
        <w:jc w:val="both"/>
      </w:pPr>
      <w:r>
        <w:t>XTTS-v2 is a strong, faster alternative — highest SECS (0.888) and ~5× faster than F5-TTS on CPU, but double the WER; the right pick when identity and speed outweigh accuracy.</w:t>
      </w:r>
    </w:p>
    <w:p>
      <w:pPr>
        <w:pStyle w:val="ListBullet"/>
        <w:jc w:val="both"/>
      </w:pPr>
      <w:r>
        <w:t>Fixed-voice TTS is not cloning — MMS/Piper/Edge are intelligible and very fast (RTF &lt; 1) yet score SECS ≈ 0.6, confirming they do not reproduce the reference speaker.</w:t>
      </w:r>
    </w:p>
    <w:p>
      <w:pPr>
        <w:pStyle w:val="ListBullet"/>
        <w:jc w:val="both"/>
      </w:pPr>
      <w:r>
        <w:t>CER stays below WER for every good engine — F5-TTS errs chiefly on the first word (“Trí”→“Chí”, a regional tr/ch merge), a pronunciation artifact, not an intelligibility failure.</w:t>
      </w:r>
    </w:p>
    <w:p>
      <w:pPr>
        <w:pStyle w:val="ListBullet"/>
        <w:jc w:val="both"/>
      </w:pPr>
      <w:r>
        <w:t>The metrics catch real failure — Bark is automatically flagged (WER &gt; 100%, lowest SECS), showing the harness genuinely separates broken from working systems.</w:t>
      </w:r>
    </w:p>
    <w:p>
      <w:pPr>
        <w:jc w:val="both"/>
      </w:pPr>
      <w:r>
        <w:rPr>
          <w:i/>
          <w:color w:val="5B6778"/>
        </w:rPr>
        <w:t>Uncertainty: this is a pilot-scale audit (one sentence per engine), so confidence intervals are not yet available; Whisper itself errs (WER/CER are upper bounds); SECS is relative; and speed is measured on CPU including first-load overhead. A ≥12-sentence set is prepared to report mean ± standard deviation.</w:t>
      </w:r>
    </w:p>
    <w:p>
      <w:pPr>
        <w:pStyle w:val="Heading1"/>
      </w:pPr>
      <w:r>
        <w:t>10.  Conclusion and Recommendations</w:t>
      </w:r>
    </w:p>
    <w:p>
      <w:pPr>
        <w:jc w:val="both"/>
      </w:pPr>
      <w:r>
        <w:rPr>
          <w:b/>
          <w:color w:val="1B4965"/>
        </w:rPr>
        <w:t xml:space="preserve">Key findings: </w:t>
      </w:r>
      <w:r>
        <w:t>F5-TTS ViVoice is the right primary model: it leads on intelligibility and ranks in the top tier on speaker identity — the only engine to optimize both axes at once. The project also delivers a reproducible objective-evaluation framework that converts subjective impressions into verifiable measurements and surfaced two subtle, high-impact defects.</w:t>
      </w:r>
    </w:p>
    <w:p>
      <w:pPr>
        <w:jc w:val="both"/>
      </w:pPr>
      <w:r>
        <w:rPr>
          <w:b/>
          <w:color w:val="1B4965"/>
        </w:rPr>
        <w:t xml:space="preserve">Recommendations: </w:t>
      </w:r>
      <w:r>
        <w:t>Use F5-TTS when both intelligibility and identity matter (enable GPU, raise NFE to 48–64 for long sentences); use XTTS-v2 when identity and speed dominate; use Piper/MMS for real-time offline reading that does not need a specific voice; do not use Bark for Vietnamese. Provide a clean 5–10 s single-speaker reference and an accurate transcript.</w:t>
      </w:r>
    </w:p>
    <w:p>
      <w:pPr>
        <w:jc w:val="both"/>
      </w:pPr>
      <w:r>
        <w:rPr>
          <w:b/>
          <w:color w:val="1B4965"/>
        </w:rPr>
        <w:t xml:space="preserve">Reflection and future work: </w:t>
      </w:r>
      <w:r>
        <w:t>The most valuable outcome was establishing an objective yardstick, which made subtle defects visible and keeps future claims evidence-based. Next, in priority order: (1) scale the test set from 1 to ≥12 diverse sentences for mean ± std reporting; (2) collect 30–60 minutes of real speaker audio and run fine-tuning end-to-end on GPU, measuring WER/CER/SECS before vs. after; (3) add subjective MOS listening tests; (4) optimize F5-TTS latency on GPU; (5) package the system (Docker / Hugging Face Spaces) for setup-free demos.</w:t>
      </w:r>
    </w:p>
    <w:p>
      <w:pPr>
        <w:pStyle w:val="Heading1"/>
      </w:pPr>
      <w:r>
        <w:t>References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[1] </w:t>
      </w:r>
      <w:r>
        <w:rPr>
          <w:sz w:val="20"/>
        </w:rPr>
        <w:t>Y. Chen et al., “F5-TTS: A Fairytaler that Fakes Fluent and Faithful Speech with Flow Matching,” arXiv:2410.06885, 2024.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[2] </w:t>
      </w:r>
      <w:r>
        <w:rPr>
          <w:sz w:val="20"/>
        </w:rPr>
        <w:t>Y. Lipman et al., “Flow Matching for Generative Modeling,” ICLR, 2023. arXiv:2210.02747.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[3] </w:t>
      </w:r>
      <w:r>
        <w:rPr>
          <w:sz w:val="20"/>
        </w:rPr>
        <w:t>W. Peebles and S. Xie, “Scalable Diffusion Models with Transformers,” ICCV, 2023. arXiv:2212.09748.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[4] </w:t>
      </w:r>
      <w:r>
        <w:rPr>
          <w:sz w:val="20"/>
        </w:rPr>
        <w:t>H. Siuzdak, “Vocos: Closing the Gap Between Time-Domain and Fourier-Based Neural Vocoders,” ICLR, 2024. arXiv:2306.00814.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[5] </w:t>
      </w:r>
      <w:r>
        <w:rPr>
          <w:sz w:val="20"/>
        </w:rPr>
        <w:t>E. Casanova et al., “XTTS: A Massively Multilingual Zero-Shot Text-to-Speech Model,” arXiv:2406.04904, 2024.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[6] </w:t>
      </w:r>
      <w:r>
        <w:rPr>
          <w:sz w:val="20"/>
        </w:rPr>
        <w:t>V. Pratap et al., “Scaling Speech Technology to 1,000+ Languages (MMS),” arXiv:2305.13516, 2023.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[7] </w:t>
      </w:r>
      <w:r>
        <w:rPr>
          <w:sz w:val="20"/>
        </w:rPr>
        <w:t>A. Radford et al., “Robust Speech Recognition via Large-Scale Weak Supervision (Whisper),” ICML, 2023. arXiv:2212.04356.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[8] </w:t>
      </w:r>
      <w:r>
        <w:rPr>
          <w:sz w:val="20"/>
        </w:rPr>
        <w:t>Suno AI, “Bark: Text-Prompted Generative Audio Model,” GitHub, 2023.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[9] </w:t>
      </w:r>
      <w:r>
        <w:rPr>
          <w:sz w:val="20"/>
        </w:rPr>
        <w:t>Rhasspy, “Piper: A Fast, Local Neural Text-to-Speech System,” GitHub, 2023.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[10] </w:t>
      </w:r>
      <w:r>
        <w:rPr>
          <w:sz w:val="20"/>
        </w:rPr>
        <w:t>hynt, “F5-TTS-Vietnamese-ViVoice,” Hugging Face model repository, 2024.</w:t>
      </w:r>
    </w:p>
    <w:p>
      <w:pPr>
        <w:spacing w:after="60"/>
        <w:ind w:left="504" w:hanging="504"/>
      </w:pPr>
      <w:r>
        <w:rPr>
          <w:b/>
          <w:color w:val="1B4965"/>
        </w:rPr>
        <w:t xml:space="preserve">[11] </w:t>
      </w:r>
      <w:r>
        <w:rPr>
          <w:sz w:val="20"/>
        </w:rPr>
        <w:t>L. Wan et al., “Generalized End-to-End Loss for Speaker Verification,” ICASSP, 2018. arXiv:1710.10467.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 — Reproducing the results</w:t>
      </w:r>
    </w:p>
    <w:p>
      <w:pPr>
        <w:spacing w:after="0"/>
      </w:pPr>
      <w:r>
        <w:rPr>
          <w:rFonts w:ascii="Consolas" w:hAnsi="Consolas"/>
          <w:sz w:val="19"/>
        </w:rPr>
        <w:t># 1. Evaluate generated audio → results.json + report.md</w:t>
      </w:r>
    </w:p>
    <w:p>
      <w:pPr>
        <w:spacing w:after="0"/>
      </w:pPr>
      <w:r>
        <w:rPr>
          <w:rFonts w:ascii="Consolas" w:hAnsi="Consolas"/>
          <w:sz w:val="19"/>
        </w:rPr>
        <w:t>python scripts/evaluate.py --manifest evaluation/audit_existing_outputs.json \</w:t>
      </w:r>
    </w:p>
    <w:p>
      <w:pPr>
        <w:spacing w:after="0"/>
      </w:pPr>
      <w:r>
        <w:rPr>
          <w:rFonts w:ascii="Consolas" w:hAnsi="Consolas"/>
          <w:sz w:val="19"/>
        </w:rPr>
        <w:t xml:space="preserve">    --output-dir outputs/evaluation</w:t>
      </w:r>
    </w:p>
    <w:p>
      <w:pPr>
        <w:spacing w:after="0"/>
      </w:pPr>
      <w:r>
        <w:rPr>
          <w:rFonts w:ascii="Consolas" w:hAnsi="Consolas"/>
          <w:sz w:val="19"/>
        </w:rPr>
        <w:t># 2. Render the figures (English labels)</w:t>
      </w:r>
    </w:p>
    <w:p>
      <w:pPr>
        <w:spacing w:after="0"/>
      </w:pPr>
      <w:r>
        <w:rPr>
          <w:rFonts w:ascii="Consolas" w:hAnsi="Consolas"/>
          <w:sz w:val="19"/>
        </w:rPr>
        <w:t>python scripts/plot_results.py --lang en --output-dir outputs/evaluation/figures_en</w:t>
      </w:r>
    </w:p>
    <w:p>
      <w:pPr>
        <w:spacing w:after="0"/>
      </w:pPr>
      <w:r>
        <w:rPr>
          <w:rFonts w:ascii="Consolas" w:hAnsi="Consolas"/>
          <w:sz w:val="19"/>
        </w:rPr>
        <w:t># 3. Rebuild this document</w:t>
      </w:r>
    </w:p>
    <w:p>
      <w:pPr>
        <w:spacing w:after="0"/>
      </w:pPr>
      <w:r>
        <w:rPr>
          <w:rFonts w:ascii="Consolas" w:hAnsi="Consolas"/>
          <w:sz w:val="19"/>
        </w:rPr>
        <w:t>python scripts/build_report_docx.py</w:t>
      </w:r>
    </w:p>
    <w:p/>
    <w:p>
      <w:pPr>
        <w:jc w:val="both"/>
      </w:pPr>
      <w:r>
        <w:rPr>
          <w:i w:val="0"/>
        </w:rPr>
        <w:t>Appendix B — Key source files: app.py (UI/orchestration), engines.py (five comparison engines), voice_studio/ (offline-testable logic: text processing, audio metrics, evaluation), scripts/train.py (fine-tuning), scripts/evaluate.py and scripts/plot_results.py (evaluation and charts), configs/train_config.yaml (architecture and training config).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 w:eastAsia="Times New Roman"/>
      <w:color w:val="1A1F2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49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49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49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