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Khoa Học Tối Cấp: Kiến Trúc Đồ Thị Đa Phương Thức Và Tối Ưu Hóa Động Lực Học Cho STAIR5 v7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 Về Nghịch Lý Liều Lượng Và Sự Thoái Lui Cấu Trúc Đồ Thị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phát triển của các hệ thống gợi ý dựa trên đồ thị đa phương thức đã trải qua nhiều giai đoạn tiến hóa, trong đó việc kiểm soát không gian lan truyền (Graph Topology) đã được chứng minh là yếu tố mang tính quyết định bậc nhất (First-order effect) đối với hiệu năng xếp hạng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Ngược lại, các nỗ lực điều chỉnh hàm mất mát đối tương phản (Loss modification) chỉ tạo ra những tác động điều hòa vi mô bậc hai (Second-order effect). Mặc dù nguyên lý này đã được khẳng định thông qua những thành công ban đầu, các thế hệ mô hình gần đây lại vấp phải một rào cản toán học và thực nghiệm nghiêm trọng được định danh là "Nghịch lý Liều lượng" (Dosage Paradox)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dữ liệu thực nghiệm từ các phiên bản tiền nhiệm cung cấp một bức tranh toàn cảnh về sự thất bại trong việc kiểm soát động lực học đồ thị. Phiên bản STAIR5-v5.2 (BPE - Bi-directional Path Expansion) đã cố gắng mở rộng không gian tìm kiếm thông qua các đường đi gián tiếp hai bước (2-hop). Tuy nhiên, với hệ số co giãn thang đo </w:t>
      </w:r>
      <w:r w:rsidDel="00000000" w:rsidR="00000000" w:rsidRPr="00000000">
        <w:rPr>
          <w:rFonts w:ascii="Google Sans" w:cs="Google Sans" w:eastAsia="Google Sans" w:hAnsi="Google Sans"/>
          <w:color w:val="1f1f1f"/>
        </w:rPr>
        <w:drawing>
          <wp:inline distB="19050" distT="19050" distL="19050" distR="19050">
            <wp:extent cx="112977" cy="252026"/>
            <wp:effectExtent b="0" l="0" r="0" t="0"/>
            <wp:docPr id="42"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12977" cy="252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dao động từ 83 đến 115, mạng lưới đã bị bơm thêm khoảng 25% lượng cạnh mới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Việc cưỡng bức liên kết các đỉnh thông qua một đỉnh trung gian đã vi phạm nghiêm trọng giả định về tính bắc cầu ngữ nghĩa (Transitivity Breakdown). Trong hệ sinh thái thương mại điện tử, hai sản phẩm có thể cùng được tương tác với một sản phẩm trung gian nhưng lại phục vụ hai mục đích hoàn toàn khác biệt, gây ra hiện tượng rò rỉ và pha loãng ngữ nghĩa (Semantic Dilution). Hệ quả tất yếu là hiệu năng của v5.2 suy thoái, ghi nhận mức giảm từ -0.39% đến -0.87% đối với chỉ số NDCG@20 trên các tập dữ liệu thử nghiệm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Nhằm khắc phục sự mở rộng quá mức này, phiên bản STAIR5-v6 (BCSR - Balanced Contraction of Semantic Relations) đã áp dụng một cơ chế co thắt cực kỳ bảo thủ. BCSR tuân thủ nghiêm ngặt nguyên lý bảo toàn bậc hàng tuyệt đối (</w:t>
      </w:r>
      <w:r w:rsidDel="00000000" w:rsidR="00000000" w:rsidRPr="00000000">
        <w:rPr>
          <w:rFonts w:ascii="Google Sans" w:cs="Google Sans" w:eastAsia="Google Sans" w:hAnsi="Google Sans"/>
          <w:color w:val="1f1f1f"/>
        </w:rPr>
        <w:drawing>
          <wp:inline distB="19050" distT="19050" distL="19050" distR="19050">
            <wp:extent cx="1205046" cy="263073"/>
            <wp:effectExtent b="0" l="0" r="0" t="0"/>
            <wp:docPr id="44"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1205046" cy="2630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đảm bảo không có sự mất cân bằng năng lượng phổ khi chuẩn hóa ma trận kề, đồng thời duy trì chuẩn phổ Laplacian ở mức </w:t>
      </w:r>
      <w:r w:rsidDel="00000000" w:rsidR="00000000" w:rsidRPr="00000000">
        <w:rPr>
          <w:rFonts w:ascii="Google Sans" w:cs="Google Sans" w:eastAsia="Google Sans" w:hAnsi="Google Sans"/>
          <w:color w:val="1f1f1f"/>
        </w:rPr>
        <w:drawing>
          <wp:inline distB="19050" distT="19050" distL="19050" distR="19050">
            <wp:extent cx="984780" cy="248336"/>
            <wp:effectExtent b="0" l="0" r="0" t="0"/>
            <wp:docPr id="43"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984780" cy="24833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Dù đạt được sự hoàn mỹ về mặt lý thuyết toán học mà không tiêu tốn thêm tham số học hay dung lượng VRAM, cơ chế này lại vướng phải điểm yếu chí mạng về dải động (dynamic range). Do đặc tính siêu thưa của ma trận tương tác người dùng - sản phẩm, kỳ vọng tương tác null </w:t>
      </w:r>
      <w:r w:rsidDel="00000000" w:rsidR="00000000" w:rsidRPr="00000000">
        <w:rPr>
          <w:rFonts w:ascii="Google Sans" w:cs="Google Sans" w:eastAsia="Google Sans" w:hAnsi="Google Sans"/>
          <w:color w:val="1f1f1f"/>
        </w:rPr>
        <w:drawing>
          <wp:inline distB="19050" distT="19050" distL="19050" distR="19050">
            <wp:extent cx="212857" cy="257202"/>
            <wp:effectExtent b="0" l="0" r="0" t="0"/>
            <wp:docPr id="46"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212857" cy="257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chỉ dao động ở mức </w:t>
      </w:r>
      <w:r w:rsidDel="00000000" w:rsidR="00000000" w:rsidRPr="00000000">
        <w:rPr>
          <w:rFonts w:ascii="Google Sans" w:cs="Google Sans" w:eastAsia="Google Sans" w:hAnsi="Google Sans"/>
          <w:color w:val="1f1f1f"/>
        </w:rPr>
        <w:drawing>
          <wp:inline distB="19050" distT="19050" distL="19050" distR="19050">
            <wp:extent cx="1132284" cy="238376"/>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1132284" cy="238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kết hợp với ngưỡng độ tin cậy </w:t>
      </w:r>
      <w:r w:rsidDel="00000000" w:rsidR="00000000" w:rsidRPr="00000000">
        <w:rPr>
          <w:rFonts w:ascii="Google Sans" w:cs="Google Sans" w:eastAsia="Google Sans" w:hAnsi="Google Sans"/>
          <w:color w:val="1f1f1f"/>
        </w:rPr>
        <w:drawing>
          <wp:inline distB="19050" distT="19050" distL="19050" distR="19050">
            <wp:extent cx="761603" cy="245405"/>
            <wp:effectExtent b="0" l="0" r="0" t="0"/>
            <wp:docPr id="50"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761603" cy="245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hệ số co thắt thực tế </w:t>
      </w:r>
      <w:r w:rsidDel="00000000" w:rsidR="00000000" w:rsidRPr="00000000">
        <w:rPr>
          <w:rFonts w:ascii="Google Sans" w:cs="Google Sans" w:eastAsia="Google Sans" w:hAnsi="Google Sans"/>
          <w:color w:val="1f1f1f"/>
        </w:rPr>
        <w:drawing>
          <wp:inline distB="19050" distT="19050" distL="19050" distR="19050">
            <wp:extent cx="209815" cy="253526"/>
            <wp:effectExtent b="0" l="0" r="0" t="0"/>
            <wp:docPr id="49"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209815" cy="253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bị ép xuống mức </w:t>
      </w:r>
      <w:r w:rsidDel="00000000" w:rsidR="00000000" w:rsidRPr="00000000">
        <w:rPr>
          <w:rFonts w:ascii="Google Sans" w:cs="Google Sans" w:eastAsia="Google Sans" w:hAnsi="Google Sans"/>
          <w:color w:val="1f1f1f"/>
        </w:rPr>
        <w:drawing>
          <wp:inline distB="19050" distT="19050" distL="19050" distR="19050">
            <wp:extent cx="381265" cy="237231"/>
            <wp:effectExtent b="0" l="0" r="0" t="0"/>
            <wp:docPr id="55"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381265" cy="23723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Mức cắt giảm khối lượng đồ thị chỉ chiếm từ 0.02% đến 0.06%, biến toán tử lan truyền </w:t>
      </w:r>
      <w:r w:rsidDel="00000000" w:rsidR="00000000" w:rsidRPr="00000000">
        <w:rPr>
          <w:rFonts w:ascii="Google Sans" w:cs="Google Sans" w:eastAsia="Google Sans" w:hAnsi="Google Sans"/>
          <w:color w:val="1f1f1f"/>
        </w:rPr>
        <w:drawing>
          <wp:inline distB="19050" distT="19050" distL="19050" distR="19050">
            <wp:extent cx="198570" cy="250370"/>
            <wp:effectExtent b="0" l="0" r="0" t="0"/>
            <wp:docPr id="53"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198570" cy="250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thành một bản sao gần như đồng nhất với toán tử gốc. Sự can thiệp vi mô này dẫn đến hiện tượng đồng mức (parity) do bảo toàn, khiến hiệu năng trên các tập dữ liệu như Amazon Baby và Sports gần như không đổi, và chỉ tăng một lượng vi phân +0.49% trên tập Electronics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đó, các nỗ lực tinh chỉnh thông qua hàm mất mát như phiên bản STAIR5-v5.1 (KPE - Known-Positive Exclusion) cũng không mang lại đột phá. Việc lọc bỏ các mẫu dương đã biết khỏi mẫu số của hàm InfoNCE bị vô hiệu hóa bởi mật độ va chạm (collision density) quá thấp trên đồ thị thưa, xác nhận lại luận điểm rằng thay đổi hàm mục tiêu không thể thay thế cho việc cấu trúc lại topo đồ thị một cách đúng đắn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Tình trạng bão hòa này đặt ra yêu cầu cấp thiết về một cơ sở lý thuyết mới, nơi đồ thị có thể tự thích ứng với các luồng gradient mà không phá vỡ tính ổn định phổ năng lượng.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Phản Biện Các Định Hướng Khắc Phục Nút Thắt Đồ Thị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vượt qua trạng thái bão hòa hiện tại và giải quyết triệt để Nghịch lý Liều lượng, phân tích tập trung vào hai triết lý can thiệp topo đang dẫn dắt các nghiên cứu hiện đại: Counterfactual Edge Attribution (CEA) và Reliability-aware CF Support (NCER). Việc mổ xẻ các nền tảng lý thuyết này sẽ cung cấp định hướng cho việc thiết kế một kiến trúc lai tối ưu.</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Tiêu Chí Đánh Giá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Counterfactual Edge Attribution (CEA)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Reliability-aware CF Support (NCER)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Chế Cốt Lõi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vi phân, đo lường tiện ích xếp hạng qua gradient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Lọc topo tĩnh, đánh giá độ tin cậy qua giao thoa láng giềng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Ưu Điểm Lý Thuyết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Phản ứng trực tiếp với mục tiêu của hàm mất mát BPR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Bảo vệ hệ thống khỏi sự nhiễu loạn của quá trình lấy mẫu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Rủi Ro Cấu Trúc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Đẩy phân phối đồ thị vào trạng thái dị biệt (OOD)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phạm giả định đồng chất (Homophily) đối với các cạnh bổ trợ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Khả Năng Mở Rộng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Hạn chế, rủi ro tràn VRAM (OOM) cao trên tập dữ liệu lớn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chỉ yêu cầu tính toán ngoại tuyến (Offline)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Tính Ổn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Dao động mạnh do tính ngẫu nhiên của stochastic mini-batch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Ổn định tuyệt đối, nhưng có xu hướng khuếch đại phổ biến</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tiếp cận Counterfactual Edge Attribution (CEA) xử lý bài toán từ góc độ tối ưu hóa vi phân, đề xuất việc định lượng trực tiếp giá trị của từng cạnh thông qua mức độ đóng góp vào hàm mất mát BPR. Thay vì dựa vào các thước đo đại diện như đếm số lần đồng xuất hiện, CEA đánh giá hệ quả nhân quả bằng cách xấp xỉ mức thay đổi hàm mất mát thông qua gradient bậc nhất: </w:t>
      </w:r>
      <w:r w:rsidDel="00000000" w:rsidR="00000000" w:rsidRPr="00000000">
        <w:rPr>
          <w:rFonts w:ascii="Google Sans" w:cs="Google Sans" w:eastAsia="Google Sans" w:hAnsi="Google Sans"/>
          <w:color w:val="1f1f1f"/>
        </w:rPr>
        <w:drawing>
          <wp:inline distB="19050" distT="19050" distL="19050" distR="19050">
            <wp:extent cx="1035710" cy="280151"/>
            <wp:effectExtent b="0" l="0" r="0" t="0"/>
            <wp:docPr id="60"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1035710" cy="28015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Cơ chế này mang lại một dải động cực rộng, cho phép trọng số cạnh được co giãn linh hoạt qua hàm sigmoid </w:t>
      </w:r>
      <w:r w:rsidDel="00000000" w:rsidR="00000000" w:rsidRPr="00000000">
        <w:rPr>
          <w:rFonts w:ascii="Google Sans" w:cs="Google Sans" w:eastAsia="Google Sans" w:hAnsi="Google Sans"/>
          <w:color w:val="1f1f1f"/>
        </w:rPr>
        <w:drawing>
          <wp:inline distB="19050" distT="19050" distL="19050" distR="19050">
            <wp:extent cx="1230316" cy="246063"/>
            <wp:effectExtent b="0" l="0" r="0" t="0"/>
            <wp:docPr id="56"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1230316" cy="246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 không bị ép về 0 một cách nhân tạo. Mặc dù tiềm năng tối ưu hóa của CEA là rất lớn, nó đi kèm với những rủi ro lý thuyết nghiêm trọng. Đầu tiên, tính ngẫu nhiên (stochasticity) của quá trình huấn luyện theo mini-batch khiến các gradient bậc nhất dao động dữ dội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quyết định giữ hay bỏ một cạnh dựa trên một tín hiệu nhiễu cao có thể phá vỡ tính liên thông của đồ thị, đẩy phân phối của không gian lan truyền vào trạng thái dị biệt (Out-of-Distribution). Hơn nữa, chi phí để duy trì ma trận đạo hàm và tính toán sự phụ thuộc chéo cho mọi cạnh trên đồ thị thưa tạo ra một gánh nặng khổng lồ về mặt bộ nhớ. Điều này tái diễn lại hiện tượng tràn bộ nhớ (Out-of-Memory) đã từng đánh gục các mô hình đa phương thức phức tạp như LATTICE hay MMSSL khi triển khai trên tập dữ liệu Amazon Electronics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Ở thái cực ngược lại, Reliability-aware CF Support (NCER) cung cấp một bộ lọc tĩnh vững chắc dựa trên phân tích cấu trúc mạng lưới. Dựa trên lý thuyết đóng cấu trúc bộ ba (triadic closure), NCER đánh giá độ tin cậy của một kết nối thông qua tỷ lệ láng giềng chung: </w:t>
      </w:r>
      <w:r w:rsidDel="00000000" w:rsidR="00000000" w:rsidRPr="00000000">
        <w:rPr>
          <w:rFonts w:ascii="Google Sans" w:cs="Google Sans" w:eastAsia="Google Sans" w:hAnsi="Google Sans"/>
          <w:color w:val="1f1f1f"/>
        </w:rPr>
        <w:drawing>
          <wp:inline distB="19050" distT="19050" distL="19050" distR="19050">
            <wp:extent cx="1822980" cy="247039"/>
            <wp:effectExtent b="0" l="0" r="0" t="0"/>
            <wp:docPr id="58"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1822980" cy="24703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Bằng cách này, hệ thống tận dụng sự xác nhận chéo từ cộng đồng người dùng để giảm thiểu nhiễu phổ của ma trận chuyển tiếp. Sức mạnh của NCER nằm ở khả năng tiền xử lý ngoại tuyến (offline), tiêu tốn </w:t>
      </w:r>
      <w:r w:rsidDel="00000000" w:rsidR="00000000" w:rsidRPr="00000000">
        <w:rPr>
          <w:rFonts w:ascii="Google Sans" w:cs="Google Sans" w:eastAsia="Google Sans" w:hAnsi="Google Sans"/>
          <w:color w:val="1f1f1f"/>
        </w:rPr>
        <w:drawing>
          <wp:inline distB="19050" distT="19050" distL="19050" distR="19050">
            <wp:extent cx="469900" cy="247765"/>
            <wp:effectExtent b="0" l="0" r="0" t="0"/>
            <wp:docPr id="61"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469900" cy="2477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chi phí tính toán mà không làm phình to VRAM trực tuyến. Tuy nhiên, sự ổn định này phải trả giá bằng việc khuếch đại sự thiên vị phổ biến (Popularity Bias Amplification). Các sản phẩm thịnh hành (head items) tự nhiên sở hữu tập láng giềng khổng lồ, khiến mọi cạnh kết nối với chúng đều được đánh giá cao quá mức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Quan trọng hơn, NCER phụ thuộc vào giả định đồng chất (homophily), vốn thường bị vi phạm trong mạng lưới thương mại điện tử. Hai sản phẩm mang tính bổ trợ cao (ví dụ: máy ảnh và chân máy) có thể có tập láng giềng hoàn toàn khác biệt, và việc sử dụng triadic closure thuần túy sẽ tiêu diệt một cách tàn nhẫn các liên kết bổ trợ quý giá này.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sự phân tích tường minh về rủi ro và lợi ích, một phán quyết học thuật được đưa ra: Đi theo một hướng đơn lẻ chắc chắn sẽ gặp giới hạn. Việc thiết kế kiến trúc tiếp theo đòi hỏi một hệ thống lai hai giai đoạn (Two-Stage Hybrid). Giai đoạn ngoại tuyến sẽ vận dụng một biến thể của NCER có khả năng chuẩn hóa bậc (Degree-Normalized NCER) nhằm thiết lập một ranh giới topo an toàn, loại bỏ nhiễu ngẫu nhiên mà không khuếch đại thiên vị phổ biến. Giai đoạn trực tuyến sẽ thay thế cơ chế CEA nguyên thủy bằng Cổng Đồng Thuận Động Lượng (Momentum-Agreement Gate - MAG). Bằng cách áp dụng trung bình trượt hàm mũ (EMA) lên hướng gradient, MAG cung cấp một thước đo nhân quả mượt mà, triệt tiêu nhiễu stochasticity của batch, và đặc biệt là không yêu cầu tính toán Hessian, giúp bảo toàn lợi thế VRAM tuyệt đối. Khuyến nghị này được kỳ vọng sẽ phá vỡ trần hiệu năng và thiết lập các kỷ lục mới.</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Khảo Cứu Nền Tảng Lý Thuyết Từ Các Công Trình Đỉnh Cao (2022-2026)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xây dựng một kiến trúc lai hoàn chỉnh, việc tổng hợp và phân tích sâu các công trình nghiên cứu SOTA trong giai đoạn 2022-2026 là điều kiện tiên quyết. Các nghiên cứu này định hình các tiêu chuẩn mới trong việc khử nhiễu cấu trúc, tối ưu hóa đối tương phản và đánh giá giới hạn biên quyết định trên đồ thị.</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công trình tiên phong trong việc tái định hình không gian lan truyền là mô hình FREEDOM (A Tale of Two Graphs: Freezing and Denoising Graph Structures for Multimodal Recommendation), công bố tại ACM MM 2023</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FREEDOM giải quyết bài toán over-smoothing bằng cách đóng băng đồ thị tương tác sản phẩm-sản phẩm và chỉ thực hiện khử nhiễu nhạy cảm với bậc đỉnh trên đồ thị người dùng-sản phẩm. Công trình này định nghĩa cơ chế kết hợp đặc trưng đa phương thức thông qua cổng chú ý tự động </w:t>
      </w:r>
      <w:r w:rsidDel="00000000" w:rsidR="00000000" w:rsidRPr="00000000">
        <w:rPr>
          <w:rFonts w:ascii="Google Sans" w:cs="Google Sans" w:eastAsia="Google Sans" w:hAnsi="Google Sans"/>
          <w:color w:val="1f1f1f"/>
        </w:rPr>
        <w:drawing>
          <wp:inline distB="19050" distT="19050" distL="19050" distR="19050">
            <wp:extent cx="2428475" cy="254735"/>
            <wp:effectExtent b="0" l="0" r="0" t="0"/>
            <wp:docPr id="63"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2428475" cy="2547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từ đó tạo ra một không gian biểu diễn chung mạnh mẽ</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Bài học cốt lõi từ FREEDOM dành cho STAIR5 là sự can thiệp topo không nhất thiết phải diễn ra liên tục trên mọi mạng lưới; việc thiết lập một cấu trúc nền tảng tĩnh và vững chắc là tiền đề để tiết kiệm bộ nhớ và đảm bảo tính hội tụ</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lĩnh vực tối ưu hóa không gian nhúng đa phương thức thông qua cơ chế tự giám sát, mô hình BM3 (Bootstrap Latent Representations for Multi-modal Recommendation), xuất hiện tại WWW 2023, đã tạo ra một bước ngoặt lớn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BM3 thách thức khuôn mẫu truyền thống của học đối tương phản bằng cách loại bỏ hoàn toàn việc lấy mẫu âm (negative sampling) và đồ thị phụ trợ. Thay vào đó, mô hình này tận dụng phương pháp bootstrap để kéo các biểu diễn của cùng một thực thể dưới các dạng nhiễu loạn khác nhau lại gần nhau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Mặc dù STAIR5 không từ bỏ lấy mẫu âm, sự thành công của BM3 củng cố mạnh mẽ quan điểm rằng: việc tái thiết kế các hàm mất mát phức tạp sẽ chỉ mang lại tác động cận biên nếu bản thân cấu trúc láng giềng dương tính ban đầu đã chứa đựng nhiễu</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xét đến việc đánh giá độ tin cậy của các cạnh, khung làm việc CGCL (Counterfactual Graph Convolutional Learning) cung cấp một nền tảng lập luận nhân quả sắc bén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Bằng cách mô phỏng các thế giới phản thực tế (ví dụ: điều gì sẽ xảy ra với hàm mất mát nếu một cạnh cụ thể bị xóa bỏ), CGCL có khả năng cô lập và trừng phạt các liên kết gây hiệu ứng ngược lên quá trình xếp hạng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Dù vậy, như đã phân tích, chi phí để tính toán sự phản thực tế trực tuyến là quá đắt đỏ. Công trình này truyền cảm hứng cho việc thiết kế các proxy gradient trong STAIR5, nơi đạo hàm của hàm mục tiêu được sử dụng như một phép xấp xỉ nhân quả thay vì thực hiện tính toán xuôi (forward pass) nhiều lần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Công trình IIMRec (Intersection-based Item-Item Graph for Multimodal Recommendation, 2026) đóng góp trực tiếp vào lý thuyết lọc cấu trúc thông qua việc khai thác độ tin cậy dựa trên láng giềng (NCER)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Bằng cách phân rã đồ thị thành các thành phần tín hiệu và nhiễu, IIMRec chứng minh rằng các cạnh được hình thành từ sự giao thoa láng giềng cao sẽ làm giảm chuẩn phổ (spectral norm) của ma trận nhiễu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Tuy nhiên, bài học từ IIMRec cũng đi kèm với một cảnh báo: nếu không có cơ chế chuẩn hóa chặt chẽ, việc sử dụng NCER sẽ dẫn đến tình trạng các đỉnh trung tâm (hubs) thâu tóm toàn bộ thông tin lan truyền.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Nhằm đưa sự động lực học vào quá trình đánh giá cạnh, RGCL (Rethinking Contrastive Learning in Graph Anomaly Detection / Decision Boundary-aware Graph Contrastive Learning, IJCAI 2025 / KDD 2024) đưa ra một triết lý đột phá về nhận thức ranh giới quyết định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Mô hình này tính toán các nhiễu loạn đặc trưng cực đại để tạo ra các ví dụ đối kháng, đẩy các điểm dữ liệu ra xa ranh giới quyết định nhằm tăng tính cường tráng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RGCL sử dụng một hàm mục tiêu đa thành phần </w:t>
      </w:r>
      <w:r w:rsidDel="00000000" w:rsidR="00000000" w:rsidRPr="00000000">
        <w:rPr>
          <w:rFonts w:ascii="Google Sans" w:cs="Google Sans" w:eastAsia="Google Sans" w:hAnsi="Google Sans"/>
          <w:color w:val="1f1f1f"/>
        </w:rPr>
        <w:drawing>
          <wp:inline distB="19050" distT="19050" distL="19050" distR="19050">
            <wp:extent cx="3871779" cy="246232"/>
            <wp:effectExtent b="0" l="0" r="0" t="0"/>
            <wp:docPr id="65"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3871779" cy="246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sự phạt L2 lên các biểu diễn được kiểm soát linh hoạt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Triết lý này gợi mở cho STAIR5 việc sử dụng tín hiệu trực tuyến từ động lực học gradient làm thước đo để tinh chỉnh trọng số cạnh thay vì chỉ phụ thuộc vào sự tương đồng cosine tĩnh.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góc nhìn bổ sung về khử nhiễu được cung cấp bởi EVEN (Seeing Beyond Noise: Joint Graph Structure Evaluation and Denoising for Multimodal Recommendation, AAAI 2025)</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EVEN chỉ ra rằng các dữ liệu ưu tiên ngữ nghĩa (semantic priors) chứa đựng một lượng lớn nhiễu ngầm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Ví dụ, hệ thống có thể gợi ý một chiếc váy trắng của trẻ em cho một phụ nữ trưởng thành chỉ vì sự tương đồng cực đoan về đặc trưng màu sắc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EVEN đề xuất một phương pháp cắt tỉa đồ thị ẩn dựa trên tác động của biểu diễn sản phẩm bậc cao. Điều này tái khẳng định rằng mạng lưới phải liên tục đánh giá lại sự đóng góp của láng giềng thay vì tin tưởng tuyệt đối vào cấu trúc khởi tạo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cùng, khung làm việc MURAL (Multimodal Uncertainty-aware Recommendation via Adaptive edge Learning, 2026) cung cấp một giải pháp toàn diện cho cả tính cứng nhắc của topo tĩnh và sự mong manh của ngữ nghĩa đa phương thức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MURAL kết hợp chiến lược truy xuất phân biệt với tìm kiếm láng giềng gần đúng để khám phá topo động với độ phức tạp tính toán chỉ </w:t>
      </w:r>
      <w:r w:rsidDel="00000000" w:rsidR="00000000" w:rsidRPr="00000000">
        <w:rPr>
          <w:rFonts w:ascii="Google Sans" w:cs="Google Sans" w:eastAsia="Google Sans" w:hAnsi="Google Sans"/>
          <w:color w:val="1f1f1f"/>
        </w:rPr>
        <w:drawing>
          <wp:inline distB="19050" distT="19050" distL="19050" distR="19050">
            <wp:extent cx="989809" cy="245337"/>
            <wp:effectExtent b="0" l="0" r="0" t="0"/>
            <wp:docPr id="67"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989809" cy="24533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Mô hình này định lượng độ bất định (aleatoric uncertainty) của các phương thức khác nhau để giảm trọng số của các tín hiệu thiếu tin cậy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Khả năng kết hợp tính toán mở rộng và thích ứng động lực học của MURAL là kim chỉ nam cho việc thiết kế kiến trúc điều khiển động lượng của STAIR5 v7.</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Công Trình SOTA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Chế Cốt Lõi Đặc Trưng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Đóng Góp Lý Thuyết Áp Dụng Cho STAIR5 v7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FREEDOM</w:t>
            </w:r>
            <w:r w:rsidDel="00000000" w:rsidR="00000000" w:rsidRPr="00000000">
              <w:rPr>
                <w:rFonts w:ascii="Google Sans" w:cs="Google Sans" w:eastAsia="Google Sans" w:hAnsi="Google Sans"/>
                <w:color w:val="1f1f1f"/>
                <w:rtl w:val="0"/>
              </w:rPr>
              <w:t xml:space="preserve">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Đóng băng topo và khử nhiễu cấu trúc qua đồ thị phân tách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tầm quan trọng của việc bảo vệ topo cốt lõi; ưu tiên cắt tỉa ngoại tuyến để duy trì VRAM thấp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BM3</w:t>
            </w:r>
            <w:r w:rsidDel="00000000" w:rsidR="00000000" w:rsidRPr="00000000">
              <w:rPr>
                <w:rFonts w:ascii="Google Sans" w:cs="Google Sans" w:eastAsia="Google Sans" w:hAnsi="Google Sans"/>
                <w:color w:val="1f1f1f"/>
                <w:rtl w:val="0"/>
              </w:rPr>
              <w:t xml:space="preserve">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đối tương phản tự tương quan, loại bỏ negative 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Chứng minh sửa đổi hàm mục tiêu là thứ cấp nếu không giải quyết tận gốc nhiễu dương tính cấu trúc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CGCL</w:t>
            </w:r>
            <w:r w:rsidDel="00000000" w:rsidR="00000000" w:rsidRPr="00000000">
              <w:rPr>
                <w:rFonts w:ascii="Google Sans" w:cs="Google Sans" w:eastAsia="Google Sans" w:hAnsi="Google Sans"/>
                <w:color w:val="1f1f1f"/>
                <w:rtl w:val="0"/>
              </w:rPr>
              <w:t xml:space="preserve">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Lập luận phản thực tế để trừng phạt cạnh gây hiệu ứng ngược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cơ sở toán học để đánh giá cạnh theo đóng góp nhân quả vào hàm mất mát BPR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IIMRec</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Lọc độ tin cậy dựa trên giao thoa láng giềng (NCER)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Tận dụng triadic closure làm bộ lọc tĩnh, giảm chuẩn phổ của ma trận nhiễu trong luồng lan truyền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RGCL</w:t>
            </w:r>
            <w:r w:rsidDel="00000000" w:rsidR="00000000" w:rsidRPr="00000000">
              <w:rPr>
                <w:rFonts w:ascii="Google Sans" w:cs="Google Sans" w:eastAsia="Google Sans" w:hAnsi="Google Sans"/>
                <w:color w:val="1f1f1f"/>
                <w:rtl w:val="0"/>
              </w:rPr>
              <w:t xml:space="preserve">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thức ranh giới quyết định qua nhiễu loạn đối kháng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động lực học huấn luyện trực tuyến làm tín hiệu liên tục để xác định và điều chỉnh nhiễu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EVEN</w:t>
            </w:r>
            <w:r w:rsidDel="00000000" w:rsidR="00000000" w:rsidRPr="00000000">
              <w:rPr>
                <w:rFonts w:ascii="Google Sans" w:cs="Google Sans" w:eastAsia="Google Sans" w:hAnsi="Google Sans"/>
                <w:color w:val="1f1f1f"/>
                <w:rtl w:val="0"/>
              </w:rPr>
              <w:t xml:space="preserve">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và khử nhiễu đồng thời bằng biểu diễn bậc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Bác bỏ sự tin cậy tuyệt đối vào tương đồng cosine ngữ nghĩa do nhiễu ưu tiên (semantic priors)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MURAL</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Khám phá topo động qua lập mô hình độ bất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dải động an toàn để co giãn trọng số linh hoạt mà không làm đứt gãy đồ thị</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Xuất Kiến Trúc Chi Tiết: STAIR5 v7 (HybNCER-MAG)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sự phân tích các rủi ro cấu trúc và tinh hoa từ các công trình SOTA, kiến trúc </w:t>
      </w:r>
      <w:r w:rsidDel="00000000" w:rsidR="00000000" w:rsidRPr="00000000">
        <w:rPr>
          <w:rFonts w:ascii="Google Sans" w:cs="Google Sans" w:eastAsia="Google Sans" w:hAnsi="Google Sans"/>
          <w:b w:val="1"/>
          <w:bCs w:val="1"/>
          <w:color w:val="1f1f1f"/>
          <w:rtl w:val="0"/>
        </w:rPr>
        <w:t xml:space="preserve">Hybrid Degree-Normalized NCER with Momentum-Agreement Gating (HybNCER-MAG)</w:t>
      </w:r>
      <w:r w:rsidDel="00000000" w:rsidR="00000000" w:rsidRPr="00000000">
        <w:rPr>
          <w:rFonts w:ascii="Google Sans" w:cs="Google Sans" w:eastAsia="Google Sans" w:hAnsi="Google Sans"/>
          <w:color w:val="1f1f1f"/>
          <w:rtl w:val="0"/>
        </w:rPr>
        <w:t xml:space="preserve"> được đề xuất như một giải pháp toàn diện. STAIR5 v7 được cấu trúc bằng các biểu thức toán học nghiêm ngặt nhằm đảm bảo tính hội tụ, kiểm soát chi phí bộ nhớ, và khắc phục sự thiên vị phổ biến.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1: Toán Học Hóa Bộ Lọc Ngoại Tuyến (Degree-Normalized NCER)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Nhằm thiết lập một không gian topo khởi tạo đáng tin cậy mà không khuếch đại sức ảnh hưởng của các đỉnh trung tâm (hub nodes), một cơ chế chuẩn hóa bậc đỉnh nâng cao được áp dụng trực tiếp lên ma trận tương tác hành vi. Thước đo trung bình nhân, lấy cảm hứng từ hệ số Ochiai và Cosine, được sử dụng để định lượng độ tin cậy cấu trúc: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9703"/>
            <wp:effectExtent b="0" l="0" r="0" t="0"/>
            <wp:docPr id="69"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05500" cy="73970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1149086" cy="245026"/>
            <wp:effectExtent b="0" l="0" r="0" t="0"/>
            <wp:docPr id="70"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1149086" cy="245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biểu diễn số lượng láng giềng chung, </w:t>
      </w:r>
      <w:r w:rsidDel="00000000" w:rsidR="00000000" w:rsidRPr="00000000">
        <w:rPr>
          <w:rFonts w:ascii="Google Sans" w:cs="Google Sans" w:eastAsia="Google Sans" w:hAnsi="Google Sans"/>
          <w:color w:val="1f1f1f"/>
        </w:rPr>
        <w:drawing>
          <wp:inline distB="19050" distT="19050" distL="19050" distR="19050">
            <wp:extent cx="422275" cy="249918"/>
            <wp:effectExtent b="0" l="0" r="0" t="0"/>
            <wp:docPr id="71"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422275" cy="2499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bậc của các đỉnh tương ứng, và </w:t>
      </w:r>
      <w:r w:rsidDel="00000000" w:rsidR="00000000" w:rsidRPr="00000000">
        <w:rPr>
          <w:rFonts w:ascii="Google Sans" w:cs="Google Sans" w:eastAsia="Google Sans" w:hAnsi="Google Sans"/>
          <w:color w:val="1f1f1f"/>
        </w:rPr>
        <w:drawing>
          <wp:inline distB="19050" distT="19050" distL="19050" distR="19050">
            <wp:extent cx="79640" cy="256616"/>
            <wp:effectExtent b="0" l="0" r="0" t="0"/>
            <wp:docPr id="72"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79640" cy="256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hằng số chống chia cho không. Việc chia cho căn bậc hai của tích các bậc đỉnh triệt tiêu hoàn toàn sự thiên vị đối với các đỉnh phổ biến, đảm bảo rằng một cạnh giữa hai đỉnh hiếm có tỷ lệ láng giềng chung cao sẽ nhận được trọng số xứng đáng. Trọng số tĩnh cơ sở này được áp dụng trực tiếp để hiệu chỉnh ma trận đồng tương tác </w:t>
      </w:r>
      <w:r w:rsidDel="00000000" w:rsidR="00000000" w:rsidRPr="00000000">
        <w:rPr>
          <w:rFonts w:ascii="Google Sans" w:cs="Google Sans" w:eastAsia="Google Sans" w:hAnsi="Google Sans"/>
          <w:color w:val="1f1f1f"/>
        </w:rPr>
        <w:drawing>
          <wp:inline distB="19050" distT="19050" distL="19050" distR="19050">
            <wp:extent cx="335227" cy="249271"/>
            <wp:effectExtent b="0" l="0" r="0" t="0"/>
            <wp:docPr id="2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35227" cy="249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3556"/>
            <wp:effectExtent b="0" l="0" r="0" t="0"/>
            <wp:docPr id="28"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05500" cy="53355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kết hợp này được thực hiện hoàn toàn ngoại tuyến, tạo ra một màng lọc vật lý ban đầu loại bỏ các cạnh đồng xuất hiện mang tính ngẫu nhiên (noise co-occurrences).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2: Khắc Phục Stochasticity Bằng Cổng Đồng Thuận Động Lượng (MAG)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tính toán sự phản thực tế của từng cạnh vốn cực kỳ tốn kém và bất ổn định, STAIR5 v7 sử dụng gradient của hàm BPR làm đại diện cho hướng tối ưu hóa của mô hình. Tại mỗi bước huấn luyện </w:t>
      </w:r>
      <w:r w:rsidDel="00000000" w:rsidR="00000000" w:rsidRPr="00000000">
        <w:rPr>
          <w:rFonts w:ascii="Google Sans" w:cs="Google Sans" w:eastAsia="Google Sans" w:hAnsi="Google Sans"/>
          <w:color w:val="1f1f1f"/>
        </w:rPr>
        <w:drawing>
          <wp:inline distB="19050" distT="19050" distL="19050" distR="19050">
            <wp:extent cx="70776" cy="293215"/>
            <wp:effectExtent b="0" l="0" r="0" t="0"/>
            <wp:docPr id="3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70776" cy="293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đạo hàm bậc nhất đối với vector biểu diễn của sản phẩm được trích xuất: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7809"/>
            <wp:effectExtent b="0" l="0" r="0" t="0"/>
            <wp:docPr id="32"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5905500" cy="55780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chống lại sự nhiễu loạn (stochasticity) gây ra bởi việc lấy mẫu mini-batch ngẫu nhiên, một bộ lọc trung bình trượt hàm mũ (EMA) được áp dụng. Việc chuẩn hóa L2 của gradient trước khi cập nhật giúp tách biệt phương hướng tối ưu khỏi biên độ ngẫu nhiên: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0335"/>
            <wp:effectExtent b="0" l="0" r="0" t="0"/>
            <wp:docPr id="34"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905500" cy="80033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787664" cy="245616"/>
            <wp:effectExtent b="0" l="0" r="0" t="0"/>
            <wp:docPr id="36"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787664" cy="245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hệ số phân rã động lượng, đóng vai trò như một bộ nhớ dài hạn, bảo vệ định hướng của đỉnh khỏi những nhiễu loạn ngắn hạn. Sự đồng thuận động lực học giữa hai sản phẩm được tính toán bằng cách đo lường sự tương đồng cosine giữa hai vector động lượng: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9703"/>
            <wp:effectExtent b="0" l="0" r="0" t="0"/>
            <wp:docPr id="38"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905500" cy="73970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Giá trị </w:t>
      </w:r>
      <w:r w:rsidDel="00000000" w:rsidR="00000000" w:rsidRPr="00000000">
        <w:rPr>
          <w:rFonts w:ascii="Google Sans" w:cs="Google Sans" w:eastAsia="Google Sans" w:hAnsi="Google Sans"/>
          <w:color w:val="1f1f1f"/>
        </w:rPr>
        <w:drawing>
          <wp:inline distB="19050" distT="19050" distL="19050" distR="19050">
            <wp:extent cx="910035" cy="278066"/>
            <wp:effectExtent b="0" l="0" r="0" t="0"/>
            <wp:docPr id="39"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910035" cy="278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trở thành một xấp xỉ nhân quả xuất sắc: nếu hai sản phẩm liên tục bị kéo về cùng một hướng trong không gian tối ưu hóa, sự kết nối của chúng là có lợi cho việc giảm thiểu hàm mất mát tổng thể.</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Quyết Nghịch Lý Liều Lượng Bằng Dải Động An Toàn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mạng lưới không lặp lại sự cố co thắt cực đoan của phiên bản v6 (nơi </w:t>
      </w:r>
      <w:r w:rsidDel="00000000" w:rsidR="00000000" w:rsidRPr="00000000">
        <w:rPr>
          <w:rFonts w:ascii="Google Sans" w:cs="Google Sans" w:eastAsia="Google Sans" w:hAnsi="Google Sans"/>
          <w:color w:val="1f1f1f"/>
        </w:rPr>
        <w:drawing>
          <wp:inline distB="19050" distT="19050" distL="19050" distR="19050">
            <wp:extent cx="852355" cy="247183"/>
            <wp:effectExtent b="0" l="0" r="0" t="0"/>
            <wp:docPr id="40"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852355" cy="247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v7 giới thiệu một cơ chế co giãn phi tuyến có kiểm soát giới hạn dưới. Sự can thiệp của động lượng được đưa qua một hàm sigmoid có nhiệt độ điều chỉnh: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0650"/>
            <wp:effectExtent b="0" l="0" r="0" t="0"/>
            <wp:docPr id="4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05500" cy="8306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Tại đây, nhiệt độ </w:t>
      </w:r>
      <w:r w:rsidDel="00000000" w:rsidR="00000000" w:rsidRPr="00000000">
        <w:rPr>
          <w:rFonts w:ascii="Google Sans" w:cs="Google Sans" w:eastAsia="Google Sans" w:hAnsi="Google Sans"/>
          <w:color w:val="1f1f1f"/>
        </w:rPr>
        <w:drawing>
          <wp:inline distB="19050" distT="19050" distL="19050" distR="19050">
            <wp:extent cx="159411" cy="243312"/>
            <wp:effectExtent b="0" l="0" r="0" t="0"/>
            <wp:docPr id="11"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159411" cy="2433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kiểm soát độ gắt của hàm bước (step function), cho phép phân tách rạch ròi các liên kết độc hại và hữu ích. Đặc biệt, cận tối thiểu </w:t>
      </w:r>
      <w:r w:rsidDel="00000000" w:rsidR="00000000" w:rsidRPr="00000000">
        <w:rPr>
          <w:rFonts w:ascii="Google Sans" w:cs="Google Sans" w:eastAsia="Google Sans" w:hAnsi="Google Sans"/>
          <w:color w:val="1f1f1f"/>
        </w:rPr>
        <w:drawing>
          <wp:inline distB="19050" distT="19050" distL="19050" distR="19050">
            <wp:extent cx="94456" cy="249021"/>
            <wp:effectExtent b="0" l="0" r="0" t="0"/>
            <wp:docPr id="1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94456" cy="249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(ví dụ: </w:t>
      </w:r>
      <w:r w:rsidDel="00000000" w:rsidR="00000000" w:rsidRPr="00000000">
        <w:rPr>
          <w:rFonts w:ascii="Google Sans" w:cs="Google Sans" w:eastAsia="Google Sans" w:hAnsi="Google Sans"/>
          <w:color w:val="1f1f1f"/>
        </w:rPr>
        <w:drawing>
          <wp:inline distB="19050" distT="19050" distL="19050" distR="19050">
            <wp:extent cx="606161" cy="244148"/>
            <wp:effectExtent b="0" l="0" r="0" t="0"/>
            <wp:docPr id="1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06161" cy="244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thiết lập một ranh giới an toàn (safety residual). Ngay cả khi hai đỉnh có hướng gradient hoàn toàn trái ngược, trọng số kết nối giữa chúng không bao giờ tụt về 0 tuyệt đối. Điều này bảo toàn luồng lan truyền tối thiểu cho các đỉnh thuộc đuôi phân phối dài (long-tail nodes), chống lại sự đứt gãy đồ thị hoàn toàn.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 trận trọng số động </w:t>
      </w:r>
      <w:r w:rsidDel="00000000" w:rsidR="00000000" w:rsidRPr="00000000">
        <w:rPr>
          <w:rFonts w:ascii="Google Sans" w:cs="Google Sans" w:eastAsia="Google Sans" w:hAnsi="Google Sans"/>
          <w:color w:val="1f1f1f"/>
        </w:rPr>
        <w:drawing>
          <wp:inline distB="19050" distT="19050" distL="19050" distR="19050">
            <wp:extent cx="545967" cy="247391"/>
            <wp:effectExtent b="0" l="0" r="0" t="0"/>
            <wp:docPr id="1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45967" cy="247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cuối cùng được áp dụng lên cấu trúc ngoại tuyến để hình thành đồ thị lan truyền tại thời điểm </w:t>
      </w:r>
      <w:r w:rsidDel="00000000" w:rsidR="00000000" w:rsidRPr="00000000">
        <w:rPr>
          <w:rFonts w:ascii="Google Sans" w:cs="Google Sans" w:eastAsia="Google Sans" w:hAnsi="Google Sans"/>
          <w:color w:val="1f1f1f"/>
        </w:rPr>
        <w:drawing>
          <wp:inline distB="19050" distT="19050" distL="19050" distR="19050">
            <wp:extent cx="70776" cy="293215"/>
            <wp:effectExtent b="0" l="0" r="0" t="0"/>
            <wp:docPr id="1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70776" cy="293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7809"/>
            <wp:effectExtent b="0" l="0" r="0" t="0"/>
            <wp:docPr id="16"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905500" cy="55780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Toán Tử Lan Truyền và Chứng Minh Giới Hạn Phổ Năng Lượng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Toán tử tích chập đồ thị cuối cùng của STAIR5 v7 được pha trộn từ đồ thị ngữ nghĩa nguyên bản </w:t>
      </w:r>
      <w:r w:rsidDel="00000000" w:rsidR="00000000" w:rsidRPr="00000000">
        <w:rPr>
          <w:rFonts w:ascii="Google Sans" w:cs="Google Sans" w:eastAsia="Google Sans" w:hAnsi="Google Sans"/>
          <w:color w:val="1f1f1f"/>
        </w:rPr>
        <w:drawing>
          <wp:inline distB="19050" distT="19050" distL="19050" distR="19050">
            <wp:extent cx="198570" cy="250370"/>
            <wp:effectExtent b="0" l="0" r="0" t="0"/>
            <wp:docPr id="17"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198570" cy="250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cấu trúc động lực học </w:t>
      </w:r>
      <w:r w:rsidDel="00000000" w:rsidR="00000000" w:rsidRPr="00000000">
        <w:rPr>
          <w:rFonts w:ascii="Google Sans" w:cs="Google Sans" w:eastAsia="Google Sans" w:hAnsi="Google Sans"/>
          <w:color w:val="1f1f1f"/>
        </w:rPr>
        <w:drawing>
          <wp:inline distB="19050" distT="19050" distL="19050" distR="19050">
            <wp:extent cx="378486" cy="269146"/>
            <wp:effectExtent b="0" l="0" r="0" t="0"/>
            <wp:docPr id="18"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78486" cy="269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hệ số </w:t>
      </w:r>
      <w:r w:rsidDel="00000000" w:rsidR="00000000" w:rsidRPr="00000000">
        <w:rPr>
          <w:rFonts w:ascii="Google Sans" w:cs="Google Sans" w:eastAsia="Google Sans" w:hAnsi="Google Sans"/>
          <w:color w:val="1f1f1f"/>
        </w:rPr>
        <w:drawing>
          <wp:inline distB="19050" distT="19050" distL="19050" distR="19050">
            <wp:extent cx="104510" cy="252566"/>
            <wp:effectExtent b="0" l="0" r="0" t="0"/>
            <wp:docPr id="19"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104510" cy="252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3872"/>
            <wp:effectExtent b="0" l="0" r="0" t="0"/>
            <wp:docPr id="20"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905500" cy="56387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vững chắc toán học của kiến trúc này nằm ở đặc tính phổ năng lượng. Do </w:t>
      </w:r>
      <w:r w:rsidDel="00000000" w:rsidR="00000000" w:rsidRPr="00000000">
        <w:rPr>
          <w:rFonts w:ascii="Google Sans" w:cs="Google Sans" w:eastAsia="Google Sans" w:hAnsi="Google Sans"/>
          <w:color w:val="1f1f1f"/>
        </w:rPr>
        <w:drawing>
          <wp:inline distB="19050" distT="19050" distL="19050" distR="19050">
            <wp:extent cx="198570" cy="250370"/>
            <wp:effectExtent b="0" l="0" r="0" t="0"/>
            <wp:docPr id="1"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198570" cy="250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một ma trận Markovian được chuẩn hóa đối xứng, chuẩn phổ của nó bị chặn </w:t>
      </w:r>
      <w:r w:rsidDel="00000000" w:rsidR="00000000" w:rsidRPr="00000000">
        <w:rPr>
          <w:rFonts w:ascii="Google Sans" w:cs="Google Sans" w:eastAsia="Google Sans" w:hAnsi="Google Sans"/>
          <w:color w:val="1f1f1f"/>
        </w:rPr>
        <w:drawing>
          <wp:inline distB="19050" distT="19050" distL="19050" distR="19050">
            <wp:extent cx="832379" cy="248856"/>
            <wp:effectExtent b="0" l="0" r="0" t="0"/>
            <wp:docPr id="2"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832379" cy="2488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Tương tự, </w:t>
      </w:r>
      <w:r w:rsidDel="00000000" w:rsidR="00000000" w:rsidRPr="00000000">
        <w:rPr>
          <w:rFonts w:ascii="Google Sans" w:cs="Google Sans" w:eastAsia="Google Sans" w:hAnsi="Google Sans"/>
          <w:color w:val="1f1f1f"/>
        </w:rPr>
        <w:drawing>
          <wp:inline distB="19050" distT="19050" distL="19050" distR="19050">
            <wp:extent cx="378486" cy="269146"/>
            <wp:effectExtent b="0" l="0" r="0" t="0"/>
            <wp:docPr id="3"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78486" cy="269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một ma trận có trọng số không âm, nên phép chuẩn hóa đối xứng </w:t>
      </w:r>
      <w:r w:rsidDel="00000000" w:rsidR="00000000" w:rsidRPr="00000000">
        <w:rPr>
          <w:rFonts w:ascii="Google Sans" w:cs="Google Sans" w:eastAsia="Google Sans" w:hAnsi="Google Sans"/>
          <w:color w:val="1f1f1f"/>
        </w:rPr>
        <w:drawing>
          <wp:inline distB="19050" distT="19050" distL="19050" distR="19050">
            <wp:extent cx="1358503" cy="280191"/>
            <wp:effectExtent b="0" l="0" r="0" t="0"/>
            <wp:docPr id="4"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1358503" cy="2801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luôn tạo ra một ma trận với bán kính phổ lớn nhất bằng 1. Theo bất đẳng thức tam giác cho chuẩn toán tử (Operator Norm):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3872"/>
            <wp:effectExtent b="0" l="0" r="0" t="0"/>
            <wp:docPr id="5"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905500" cy="56387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lý này đóng vai trò then chốt vì nó đảm bảo rằng khi toán tử </w:t>
      </w:r>
      <w:r w:rsidDel="00000000" w:rsidR="00000000" w:rsidRPr="00000000">
        <w:rPr>
          <w:rFonts w:ascii="Google Sans" w:cs="Google Sans" w:eastAsia="Google Sans" w:hAnsi="Google Sans"/>
          <w:color w:val="1f1f1f"/>
        </w:rPr>
        <w:drawing>
          <wp:inline distB="19050" distT="19050" distL="19050" distR="19050">
            <wp:extent cx="297656" cy="280147"/>
            <wp:effectExtent b="0" l="0" r="0" t="0"/>
            <wp:docPr id="6"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297656" cy="2801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đưa vào chuỗi khai triển Neumann của bộ lọc BSC (Behavior-Conditioned Semantic Retention), chuỗi đa thức sẽ luôn hội tụ tuyệt đối. Bất kể động lực học của gradient diễn biến phức tạp ra sao, mạng lưới được bảo chứng toán học chống lại hiện tượng bùng nổ gradient (Exploding Gradients).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Độ Phức Tạp Thuật Toán Và Dự Toán VRAM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HybNCER-MAG được tối ưu hóa tột bậc để đảm bảo khả năng triển khai trên các cụm đồ thị quy mô lớn.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Về độ phức tạp thời gian (Time Complexity):</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Quá trình tiền xử lý ngoại tuyến tính toán </w:t>
      </w:r>
      <w:r w:rsidDel="00000000" w:rsidR="00000000" w:rsidRPr="00000000">
        <w:rPr>
          <w:rFonts w:ascii="Google Sans" w:cs="Google Sans" w:eastAsia="Google Sans" w:hAnsi="Google Sans"/>
          <w:color w:val="1f1f1f"/>
        </w:rPr>
        <w:drawing>
          <wp:inline distB="19050" distT="19050" distL="19050" distR="19050">
            <wp:extent cx="468709" cy="255659"/>
            <wp:effectExtent b="0" l="0" r="0" t="0"/>
            <wp:docPr id="7"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468709" cy="255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đòi hỏi phép nhân các ma trận thưa </w:t>
      </w:r>
      <w:r w:rsidDel="00000000" w:rsidR="00000000" w:rsidRPr="00000000">
        <w:rPr>
          <w:rFonts w:ascii="Google Sans" w:cs="Google Sans" w:eastAsia="Google Sans" w:hAnsi="Google Sans"/>
          <w:color w:val="1f1f1f"/>
        </w:rPr>
        <w:drawing>
          <wp:inline distB="19050" distT="19050" distL="19050" distR="19050">
            <wp:extent cx="1403213" cy="263634"/>
            <wp:effectExtent b="0" l="0" r="0" t="0"/>
            <wp:docPr id="8"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1403213" cy="263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Nhờ cấu trúc phân mảnh (block-wise sparse slicing), thao tác này hoàn tất chỉ trong khoảng dưới 10 giây trên CPU và được lưu trữ tĩnh vĩnh viễn.</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Trong pha huấn luyện trực tuyến, việc cập nhật cổng động lượng và thực hiện phép nhân Hadamard </w:t>
      </w:r>
      <w:r w:rsidDel="00000000" w:rsidR="00000000" w:rsidRPr="00000000">
        <w:rPr>
          <w:rFonts w:ascii="Google Sans" w:cs="Google Sans" w:eastAsia="Google Sans" w:hAnsi="Google Sans"/>
          <w:color w:val="1f1f1f"/>
        </w:rPr>
        <w:drawing>
          <wp:inline distB="19050" distT="19050" distL="19050" distR="19050">
            <wp:extent cx="1433112" cy="247382"/>
            <wp:effectExtent b="0" l="0" r="0" t="0"/>
            <wp:docPr id="9"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1433112" cy="247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chỉ tiêu tốn </w:t>
      </w:r>
      <w:r w:rsidDel="00000000" w:rsidR="00000000" w:rsidRPr="00000000">
        <w:rPr>
          <w:rFonts w:ascii="Google Sans" w:cs="Google Sans" w:eastAsia="Google Sans" w:hAnsi="Google Sans"/>
          <w:color w:val="1f1f1f"/>
        </w:rPr>
        <w:drawing>
          <wp:inline distB="19050" distT="19050" distL="19050" distR="19050">
            <wp:extent cx="782770" cy="246743"/>
            <wp:effectExtent b="0" l="0" r="0" t="0"/>
            <wp:docPr id="10"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782770" cy="246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phép toán FLOPs. Điều này hoàn toàn không làm gián đoạn luồng lan truyền và chỉ thêm độ trễ xấp xỉ vài mili-giây cho mỗi bước cập nhật.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Về hồ sơ bộ nhớ (Memory Footprint):</w:t>
      </w:r>
      <w:r w:rsidDel="00000000" w:rsidR="00000000" w:rsidRPr="00000000">
        <w:rPr>
          <w:rFonts w:ascii="Google Sans" w:cs="Google Sans" w:eastAsia="Google Sans" w:hAnsi="Google Sans"/>
          <w:color w:val="1f1f1f"/>
          <w:rtl w:val="0"/>
        </w:rPr>
        <w:t xml:space="preserve"> Sự khác biệt lớn nhất giữa v7 và các mô hình học đồ thị động (như LATTICE) là khả năng kiểm soát VRAM. STAIR5 v7 không yêu cầu tính toán và lưu trữ sự chú ý (attention) chéo cho mọi cặp đỉnh. Thay vào đó, nó chỉ duy trì một ma trận trạng thái động lượng </w:t>
      </w:r>
      <w:r w:rsidDel="00000000" w:rsidR="00000000" w:rsidRPr="00000000">
        <w:rPr>
          <w:rFonts w:ascii="Google Sans" w:cs="Google Sans" w:eastAsia="Google Sans" w:hAnsi="Google Sans"/>
          <w:color w:val="1f1f1f"/>
        </w:rPr>
        <w:drawing>
          <wp:inline distB="19050" distT="19050" distL="19050" distR="19050">
            <wp:extent cx="812271" cy="247956"/>
            <wp:effectExtent b="0" l="0" r="0" t="0"/>
            <wp:docPr id="48"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812271" cy="247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Áp dụng trên tập dữ liệu Amazon Electronics (63,001 items, số chiều không gian </w:t>
      </w:r>
      <w:r w:rsidDel="00000000" w:rsidR="00000000" w:rsidRPr="00000000">
        <w:rPr>
          <w:rFonts w:ascii="Google Sans" w:cs="Google Sans" w:eastAsia="Google Sans" w:hAnsi="Google Sans"/>
          <w:color w:val="1f1f1f"/>
        </w:rPr>
        <w:drawing>
          <wp:inline distB="19050" distT="19050" distL="19050" distR="19050">
            <wp:extent cx="559197" cy="245708"/>
            <wp:effectExtent b="0" l="0" r="0" t="0"/>
            <wp:docPr id="51"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559197" cy="245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độ chính xác FP32), dung lượng yêu cầu bổ sung được tính toán chính xác là:</w:t>
      </w:r>
      <w:r w:rsidDel="00000000" w:rsidR="00000000" w:rsidRPr="00000000">
        <w:rPr>
          <w:rFonts w:ascii="Google Sans" w:cs="Google Sans" w:eastAsia="Google Sans" w:hAnsi="Google Sans"/>
          <w:color w:val="1f1f1f"/>
        </w:rPr>
        <w:drawing>
          <wp:inline distB="19050" distT="19050" distL="19050" distR="19050">
            <wp:extent cx="2894276" cy="236958"/>
            <wp:effectExtent b="0" l="0" r="0" t="0"/>
            <wp:docPr id="52"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2894276" cy="23695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Với mức tiêu thụ VRAM cơ bản của phiên bản v4 ở ngưỡng </w:t>
      </w:r>
      <w:r w:rsidDel="00000000" w:rsidR="00000000" w:rsidRPr="00000000">
        <w:rPr>
          <w:rFonts w:ascii="Google Sans" w:cs="Google Sans" w:eastAsia="Google Sans" w:hAnsi="Google Sans"/>
          <w:color w:val="1f1f1f"/>
        </w:rPr>
        <w:drawing>
          <wp:inline distB="19050" distT="19050" distL="19050" distR="19050">
            <wp:extent cx="500856" cy="237694"/>
            <wp:effectExtent b="0" l="0" r="0" t="0"/>
            <wp:docPr id="54"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500856" cy="237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MiB, STAIR5 v7 sẽ vận hành an toàn và hoàn toàn ổn định dưới mức </w:t>
      </w:r>
      <w:r w:rsidDel="00000000" w:rsidR="00000000" w:rsidRPr="00000000">
        <w:rPr>
          <w:rFonts w:ascii="Google Sans" w:cs="Google Sans" w:eastAsia="Google Sans" w:hAnsi="Google Sans"/>
          <w:color w:val="1f1f1f"/>
        </w:rPr>
        <w:drawing>
          <wp:inline distB="19050" distT="19050" distL="19050" distR="19050">
            <wp:extent cx="500856" cy="237694"/>
            <wp:effectExtent b="0" l="0" r="0" t="0"/>
            <wp:docPr id="57" name="image62.png"/>
            <a:graphic>
              <a:graphicData uri="http://schemas.openxmlformats.org/drawingml/2006/picture">
                <pic:pic>
                  <pic:nvPicPr>
                    <pic:cNvPr id="0" name="image62.png"/>
                    <pic:cNvPicPr preferRelativeResize="0"/>
                  </pic:nvPicPr>
                  <pic:blipFill>
                    <a:blip r:embed="rId57"/>
                    <a:srcRect b="0" l="0" r="0" t="0"/>
                    <a:stretch>
                      <a:fillRect/>
                    </a:stretch>
                  </pic:blipFill>
                  <pic:spPr>
                    <a:xfrm>
                      <a:off x="0" y="0"/>
                      <a:ext cx="500856" cy="237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MiB. Điều này triệt tiêu hoàn toàn rủi ro OOM trên các hệ thống GPU khiêm tốn như NVIDIA Tesla T4 (14.56 GiB).</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 Hoạch Thực Nghiệm Và Giao Thức Kiểm Chứng Đa Tầng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chứng minh luận điểm toán học và đảm bảo rằng sự bứt phá hiệu năng không phải là ảo ảnh thống kê, một giao thức kiểm chứng (Validation Plan) toàn diện được thiết lập, bao gồm các cấu hình phân rã sâu và các chỉ số chẩn đoán chặt chẽ.</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Kế Phân Rã (Ablation Study) Định Hướng Cơ Chế</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sẽ được tháo dỡ để xác nhận sự đóng góp của từng thành phần, đảm bảo sự cải tiến bắt nguồn từ bản chất toán học:</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v7-full:</w:t>
      </w:r>
      <w:r w:rsidDel="00000000" w:rsidR="00000000" w:rsidRPr="00000000">
        <w:rPr>
          <w:rFonts w:ascii="Google Sans" w:cs="Google Sans" w:eastAsia="Google Sans" w:hAnsi="Google Sans"/>
          <w:color w:val="1f1f1f"/>
          <w:rtl w:val="0"/>
        </w:rPr>
        <w:t xml:space="preserve"> Cấu hình chủ đạo bao gồm bộ lọc tĩnh NCER kết hợp cổng động lượng trực tuyến MAG.</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v7-no-MAG (Static NCER):</w:t>
      </w:r>
      <w:r w:rsidDel="00000000" w:rsidR="00000000" w:rsidRPr="00000000">
        <w:rPr>
          <w:rFonts w:ascii="Google Sans" w:cs="Google Sans" w:eastAsia="Google Sans" w:hAnsi="Google Sans"/>
          <w:color w:val="1f1f1f"/>
          <w:rtl w:val="0"/>
        </w:rPr>
        <w:t xml:space="preserve"> Khóa chặt trọng số động lực học, chỉ sử dụng độ tin cậy giao thoa láng giềng </w:t>
      </w:r>
      <w:r w:rsidDel="00000000" w:rsidR="00000000" w:rsidRPr="00000000">
        <w:rPr>
          <w:rFonts w:ascii="Google Sans" w:cs="Google Sans" w:eastAsia="Google Sans" w:hAnsi="Google Sans"/>
          <w:color w:val="1f1f1f"/>
        </w:rPr>
        <w:drawing>
          <wp:inline distB="19050" distT="19050" distL="19050" distR="19050">
            <wp:extent cx="468709" cy="255659"/>
            <wp:effectExtent b="0" l="0" r="0" t="0"/>
            <wp:docPr id="59"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468709" cy="255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Cấu hình này đo lường sức mạnh thuần túy của việc khử nhiễu cấu trúc (IIMRec-like structural denoising)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v7-no-NCER (Pure MAG):</w:t>
      </w:r>
      <w:r w:rsidDel="00000000" w:rsidR="00000000" w:rsidRPr="00000000">
        <w:rPr>
          <w:rFonts w:ascii="Google Sans" w:cs="Google Sans" w:eastAsia="Google Sans" w:hAnsi="Google Sans"/>
          <w:color w:val="1f1f1f"/>
          <w:rtl w:val="0"/>
        </w:rPr>
        <w:t xml:space="preserve"> Loại bỏ việc chuẩn hóa bậc láng giềng ngoại tuyến, trực tiếp áp dụng cổng gradient lên đồ thị hành vi thô. Cấu hình này kiểm chứng khả năng tự định hướng của gradient có bị nhiễu do thiên vị phổ biến hay không.</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v7-random-gate (Placebo Control):</w:t>
      </w:r>
      <w:r w:rsidDel="00000000" w:rsidR="00000000" w:rsidRPr="00000000">
        <w:rPr>
          <w:rFonts w:ascii="Google Sans" w:cs="Google Sans" w:eastAsia="Google Sans" w:hAnsi="Google Sans"/>
          <w:color w:val="1f1f1f"/>
          <w:rtl w:val="0"/>
        </w:rPr>
        <w:t xml:space="preserve"> Vô hiệu hóa thông tin gradient, gán ngẫu nhiên </w:t>
      </w:r>
      <w:r w:rsidDel="00000000" w:rsidR="00000000" w:rsidRPr="00000000">
        <w:rPr>
          <w:rFonts w:ascii="Google Sans" w:cs="Google Sans" w:eastAsia="Google Sans" w:hAnsi="Google Sans"/>
          <w:color w:val="1f1f1f"/>
        </w:rPr>
        <w:drawing>
          <wp:inline distB="19050" distT="19050" distL="19050" distR="19050">
            <wp:extent cx="1464469" cy="262419"/>
            <wp:effectExtent b="0" l="0" r="0" t="0"/>
            <wp:docPr id="62"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1464469" cy="2624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Phép thử này đóng vai trò quan trọng để rà soát rủi ro "tác dụng giả dược" (placebo), nhằm loại trừ khả năng việc tái chuẩn hóa lại phân phối trọng số ngẫu nhiên lại tạo ra ảo giác gia tăng hiệu năng.</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Gian Tìm Kiếm Siêu Tham Số (Hyperparameter Framework)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cân bằng của hệ thống phụ thuộc vào ba tham số động lực học chính:</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Tham Số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Dải Khảo Sát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Khuyến Nghị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Phân Tích Vai Trò Động Lực Học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Nhiệt độ Scaling (</w:t>
            </w:r>
            <w:r w:rsidDel="00000000" w:rsidR="00000000" w:rsidRPr="00000000">
              <w:rPr>
                <w:rFonts w:ascii="Google Sans" w:cs="Google Sans" w:eastAsia="Google Sans" w:hAnsi="Google Sans"/>
                <w:b w:val="1"/>
                <w:bCs w:val="1"/>
                <w:color w:val="1f1f1f"/>
              </w:rPr>
              <w:drawing>
                <wp:inline distB="19050" distT="19050" distL="19050" distR="19050">
                  <wp:extent cx="159411" cy="243312"/>
                  <wp:effectExtent b="0" l="0" r="0" t="0"/>
                  <wp:docPr id="64"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159411" cy="24331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19467" cy="237119"/>
                  <wp:effectExtent b="0" l="0" r="0" t="0"/>
                  <wp:docPr id="66"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1219467" cy="23711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50428" cy="241793"/>
                  <wp:effectExtent b="0" l="0" r="0" t="0"/>
                  <wp:docPr id="68"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250428" cy="24179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định độ gắt của hàm phân rẽ (step function). Giá trị nhỏ cắt tỉa tàn nhẫn, giá trị lớn cho phép chuyển tiếp mượt mà.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phân rã EMA (</w:t>
            </w:r>
            <w:r w:rsidDel="00000000" w:rsidR="00000000" w:rsidRPr="00000000">
              <w:rPr>
                <w:rFonts w:ascii="Google Sans" w:cs="Google Sans" w:eastAsia="Google Sans" w:hAnsi="Google Sans"/>
                <w:b w:val="1"/>
                <w:bCs w:val="1"/>
                <w:color w:val="1f1f1f"/>
              </w:rPr>
              <w:drawing>
                <wp:inline distB="19050" distT="19050" distL="19050" distR="19050">
                  <wp:extent cx="112448" cy="250846"/>
                  <wp:effectExtent b="0" l="0" r="0" t="0"/>
                  <wp:docPr id="47"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112448" cy="25084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19467" cy="237119"/>
                  <wp:effectExtent b="0" l="0" r="0" t="0"/>
                  <wp:docPr id="23" name="image24.png"/>
                  <a:graphic>
                    <a:graphicData uri="http://schemas.openxmlformats.org/drawingml/2006/picture">
                      <pic:pic>
                        <pic:nvPicPr>
                          <pic:cNvPr id="0" name="image24.png"/>
                          <pic:cNvPicPr preferRelativeResize="0"/>
                        </pic:nvPicPr>
                        <pic:blipFill>
                          <a:blip r:embed="rId62"/>
                          <a:srcRect b="0" l="0" r="0" t="0"/>
                          <a:stretch>
                            <a:fillRect/>
                          </a:stretch>
                        </pic:blipFill>
                        <pic:spPr>
                          <a:xfrm>
                            <a:off x="0" y="0"/>
                            <a:ext cx="1219467" cy="23711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50428" cy="241793"/>
                  <wp:effectExtent b="0" l="0" r="0" t="0"/>
                  <wp:docPr id="24"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250428" cy="24179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Điều tiết trí nhớ của mô hình. Hệ số </w:t>
            </w:r>
            <w:r w:rsidDel="00000000" w:rsidR="00000000" w:rsidRPr="00000000">
              <w:rPr>
                <w:rFonts w:ascii="Google Sans" w:cs="Google Sans" w:eastAsia="Google Sans" w:hAnsi="Google Sans"/>
                <w:color w:val="1f1f1f"/>
              </w:rPr>
              <w:drawing>
                <wp:inline distB="19050" distT="19050" distL="19050" distR="19050">
                  <wp:extent cx="250428" cy="241793"/>
                  <wp:effectExtent b="0" l="0" r="0" t="0"/>
                  <wp:docPr id="25"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250428" cy="241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kết hợp cơ chế Warmup 10 epoch đầu (</w:t>
            </w:r>
            <w:r w:rsidDel="00000000" w:rsidR="00000000" w:rsidRPr="00000000">
              <w:rPr>
                <w:rFonts w:ascii="Google Sans" w:cs="Google Sans" w:eastAsia="Google Sans" w:hAnsi="Google Sans"/>
                <w:color w:val="1f1f1f"/>
              </w:rPr>
              <w:drawing>
                <wp:inline distB="19050" distT="19050" distL="19050" distR="19050">
                  <wp:extent cx="471752" cy="244300"/>
                  <wp:effectExtent b="0" l="0" r="0" t="0"/>
                  <wp:docPr id="27"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471752" cy="244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giúp vector nhanh chóng bắt nhịp quỹ đạo trước khi chốt động lượng.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Cận an toàn (</w:t>
            </w:r>
            <w:r w:rsidDel="00000000" w:rsidR="00000000" w:rsidRPr="00000000">
              <w:rPr>
                <w:rFonts w:ascii="Google Sans" w:cs="Google Sans" w:eastAsia="Google Sans" w:hAnsi="Google Sans"/>
                <w:b w:val="1"/>
                <w:bCs w:val="1"/>
                <w:color w:val="1f1f1f"/>
              </w:rPr>
              <w:drawing>
                <wp:inline distB="19050" distT="19050" distL="19050" distR="19050">
                  <wp:extent cx="94456" cy="249021"/>
                  <wp:effectExtent b="0" l="0" r="0" t="0"/>
                  <wp:docPr id="29"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94456" cy="2490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19467" cy="237119"/>
                  <wp:effectExtent b="0" l="0" r="0" t="0"/>
                  <wp:docPr id="31"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1219467" cy="23711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250428" cy="241793"/>
                  <wp:effectExtent b="0" l="0" r="0" t="0"/>
                  <wp:docPr id="33"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250428" cy="24179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Ngăn chặn sự đứt gãy đồ thị hoàn toàn (Graph Disconnection), duy trì luồng tín hiệu tối thiểu bảo vệ các sản phẩm đuôi dài.</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Thử Nghiệm Thăm Dò Và Xử Lý Sự Cố (Pilot Test Protocol)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lập tức tiêu tốn hàng trăm giờ GPU trên các tập dữ liệu khổng lồ, quy trình triển khai tuân theo phương pháp thử nghiệm dò mìn từng bước: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Bước 1: Chẩn Đoán Sinh Trắc Học Đồ Thị (Epoch 0 - 10)</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Mục tiêu: Theo dõi phân phối của dải trọng số động </w:t>
      </w:r>
      <w:r w:rsidDel="00000000" w:rsidR="00000000" w:rsidRPr="00000000">
        <w:rPr>
          <w:rFonts w:ascii="Google Sans" w:cs="Google Sans" w:eastAsia="Google Sans" w:hAnsi="Google Sans"/>
          <w:color w:val="1f1f1f"/>
        </w:rPr>
        <w:drawing>
          <wp:inline distB="19050" distT="19050" distL="19050" distR="19050">
            <wp:extent cx="476911" cy="281037"/>
            <wp:effectExtent b="0" l="0" r="0" t="0"/>
            <wp:docPr id="35"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476911" cy="281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Tiêu chí kích hoạt: Nếu phương sai </w:t>
      </w:r>
      <w:r w:rsidDel="00000000" w:rsidR="00000000" w:rsidRPr="00000000">
        <w:rPr>
          <w:rFonts w:ascii="Google Sans" w:cs="Google Sans" w:eastAsia="Google Sans" w:hAnsi="Google Sans"/>
          <w:color w:val="1f1f1f"/>
        </w:rPr>
        <w:drawing>
          <wp:inline distB="19050" distT="19050" distL="19050" distR="19050">
            <wp:extent cx="1312993" cy="245657"/>
            <wp:effectExtent b="0" l="0" r="0" t="0"/>
            <wp:docPr id="37"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1312993" cy="2456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hệ thống đang tái diễn Nghịch lý Liều lượng của phiên bản v6 (toàn bộ trọng số hội tụ về một hằng số bảo thủ). Hành động khắc phục: Lập tức dừng huấn luyện, giảm nhiệt độ </w:t>
      </w:r>
      <w:r w:rsidDel="00000000" w:rsidR="00000000" w:rsidRPr="00000000">
        <w:rPr>
          <w:rFonts w:ascii="Google Sans" w:cs="Google Sans" w:eastAsia="Google Sans" w:hAnsi="Google Sans"/>
          <w:color w:val="1f1f1f"/>
        </w:rPr>
        <w:drawing>
          <wp:inline distB="19050" distT="19050" distL="19050" distR="19050">
            <wp:extent cx="159411" cy="243312"/>
            <wp:effectExtent b="0" l="0" r="0" t="0"/>
            <wp:docPr id="21"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159411" cy="2433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tăng độ nhạy cảm của cổng động lượng.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Bước 2: Kiểm Định Giới Hạn Cấu Trúc (Epoch 10 - 100)</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Mục tiêu: Chạy thử trên hai tập dữ liệu Amazon Baby và Sports.</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Tiêu chí kích hoạt: Liên tục đối chiếu tốc độ gia tăng Validation NDCG@20 so với đường chuẩn của STAIR5 v4. Nếu v7 </w:t>
      </w:r>
      <w:r w:rsidDel="00000000" w:rsidR="00000000" w:rsidRPr="00000000">
        <w:rPr>
          <w:rFonts w:ascii="Google Sans" w:cs="Google Sans" w:eastAsia="Google Sans" w:hAnsi="Google Sans"/>
          <w:color w:val="1f1f1f"/>
        </w:rPr>
        <w:drawing>
          <wp:inline distB="19050" distT="19050" distL="19050" distR="19050">
            <wp:extent cx="152532" cy="237273"/>
            <wp:effectExtent b="0" l="0" r="0" t="0"/>
            <wp:docPr id="22"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152532" cy="237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v4, tiến hành phân rã cấu hình thành v7-random-gate ngay lập tức để nhận diện module gây ra hiện tượng dịch chuyển phân phối (OOD). Nếu v7 bứt phá ổn định (+2%), tiến hành bước tiếp theo.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Bước 3: Xác Lập Kỷ Lục Quy Mô Lớn (Full 500 Epochs)</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Mục tiêu: Khởi chạy toàn diện trên tập Amazon Electronics (1.7 triệu tương tác, 63,001 items).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Tiêu chí kích hoạt: Giám sát chặt chẽ biểu đồ cấp phát VRAM. Nếu Peak VRAM ổn định dưới ngưỡng 800 MiB và điểm NDCG@20 bứt phá qua trần SOTA hiện hữu, kiến trúc HybNCER-MAG chính thức được xác nhận là luận điểm cốt lõi để đệ trình thành công trình khoa học hạng 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cách thiết lập một sự dung hòa hoàn hảo giữa độ bền vững của Topo tĩnh và sự sắc bén của Động lực học gradient trực tuyến, STAIR5 v7 không chỉ khắc phục được toàn bộ các yếu tố kéo lùi của các phiên bản tiền nhiệm mà còn mở ra một nền tảng lý thuyết mới cho hệ thống gợi ý đa phương thức đương đại.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STAIR5_v4_Experiment_Report.md</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STAIR5_v4_Report.md</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STAIR5_v6_Experiment_Report.md</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STAIR5_v5.2_Experiment_Report.md</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STAIR5_v5.1_Experiment_Report.md</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STAIR5_v5.1_Report.md</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SemDiff: Semantic Guided Diffusion-Based Collaborative Filtering, </w:t>
      </w:r>
      <w:hyperlink r:id="rId68">
        <w:r w:rsidDel="00000000" w:rsidR="00000000" w:rsidRPr="00000000">
          <w:rPr>
            <w:rFonts w:ascii="Google Sans" w:cs="Google Sans" w:eastAsia="Google Sans" w:hAnsi="Google Sans"/>
            <w:color w:val="0000ee"/>
            <w:sz w:val="24"/>
            <w:szCs w:val="24"/>
            <w:u w:val="single"/>
            <w:rtl w:val="0"/>
          </w:rPr>
          <w:t xml:space="preserve">https://www.computer.org/csdl/journal/tk/2026/06/11474985/2fuLNbAYTGU</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Gated Hybrid Contrastive Collaborative Filtering Recommendation, </w:t>
      </w:r>
      <w:hyperlink r:id="rId69">
        <w:r w:rsidDel="00000000" w:rsidR="00000000" w:rsidRPr="00000000">
          <w:rPr>
            <w:rFonts w:ascii="Google Sans" w:cs="Google Sans" w:eastAsia="Google Sans" w:hAnsi="Google Sans"/>
            <w:color w:val="0000ee"/>
            <w:sz w:val="24"/>
            <w:szCs w:val="24"/>
            <w:u w:val="single"/>
            <w:rtl w:val="0"/>
          </w:rPr>
          <w:t xml:space="preserve">https://arxiv.org/pdf/2604.27117</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Influential ACM Multimedia Papers (2025-09 Version), </w:t>
      </w:r>
      <w:hyperlink r:id="rId70">
        <w:r w:rsidDel="00000000" w:rsidR="00000000" w:rsidRPr="00000000">
          <w:rPr>
            <w:rFonts w:ascii="Google Sans" w:cs="Google Sans" w:eastAsia="Google Sans" w:hAnsi="Google Sans"/>
            <w:color w:val="0000ee"/>
            <w:sz w:val="24"/>
            <w:szCs w:val="24"/>
            <w:u w:val="single"/>
            <w:rtl w:val="0"/>
          </w:rPr>
          <w:t xml:space="preserve">https://www.paperdigest.org/2025/09/most-influential-mm-papers-2025-09-version/</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Freezing and Denoising Graph Structures for Multimodal ... - arXiv, </w:t>
      </w:r>
      <w:hyperlink r:id="rId71">
        <w:r w:rsidDel="00000000" w:rsidR="00000000" w:rsidRPr="00000000">
          <w:rPr>
            <w:rFonts w:ascii="Google Sans" w:cs="Google Sans" w:eastAsia="Google Sans" w:hAnsi="Google Sans"/>
            <w:color w:val="0000ee"/>
            <w:sz w:val="24"/>
            <w:szCs w:val="24"/>
            <w:u w:val="single"/>
            <w:rtl w:val="0"/>
          </w:rPr>
          <w:t xml:space="preserve">https://arxiv.org/pdf/2211.06924</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FGCM: Modality-Behavior Fusion Model Integrated with Graph, </w:t>
      </w:r>
      <w:hyperlink r:id="rId72">
        <w:r w:rsidDel="00000000" w:rsidR="00000000" w:rsidRPr="00000000">
          <w:rPr>
            <w:rFonts w:ascii="Google Sans" w:cs="Google Sans" w:eastAsia="Google Sans" w:hAnsi="Google Sans"/>
            <w:color w:val="0000ee"/>
            <w:sz w:val="24"/>
            <w:szCs w:val="24"/>
            <w:u w:val="single"/>
            <w:rtl w:val="0"/>
          </w:rPr>
          <w:t xml:space="preserve">https://www.computer.org/csdl/magazine/mu/2025/03/10897816/24uGDjrux5C</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DiffCL: A Diffusion-Based Contrastive Learning Framework ... - arXiv, </w:t>
      </w:r>
      <w:hyperlink r:id="rId73">
        <w:r w:rsidDel="00000000" w:rsidR="00000000" w:rsidRPr="00000000">
          <w:rPr>
            <w:rFonts w:ascii="Google Sans" w:cs="Google Sans" w:eastAsia="Google Sans" w:hAnsi="Google Sans"/>
            <w:color w:val="0000ee"/>
            <w:sz w:val="24"/>
            <w:szCs w:val="24"/>
            <w:u w:val="single"/>
            <w:rtl w:val="0"/>
          </w:rPr>
          <w:t xml:space="preserve">https://arxiv.org/html/2501.01066v1</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 '23: Proceedings of the ACM Web Conference 2023, </w:t>
      </w:r>
      <w:hyperlink r:id="rId74">
        <w:r w:rsidDel="00000000" w:rsidR="00000000" w:rsidRPr="00000000">
          <w:rPr>
            <w:rFonts w:ascii="Google Sans" w:cs="Google Sans" w:eastAsia="Google Sans" w:hAnsi="Google Sans"/>
            <w:color w:val="0000ee"/>
            <w:sz w:val="24"/>
            <w:szCs w:val="24"/>
            <w:u w:val="single"/>
            <w:rtl w:val="0"/>
          </w:rPr>
          <w:t xml:space="preserve">https://www.sigweb.org/toc/www23.html</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Causal Learning in Graph-Based Recommender Systems,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https://www.researchgate.net/publication/412233059_A_Survey_of_Causal_Learning_in_Graph-Based_Recommender_Systems</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Reliable Knowledge Graph Reasoning through Calibrated Trust, </w:t>
      </w:r>
      <w:hyperlink r:id="rId76">
        <w:r w:rsidDel="00000000" w:rsidR="00000000" w:rsidRPr="00000000">
          <w:rPr>
            <w:rFonts w:ascii="Google Sans" w:cs="Google Sans" w:eastAsia="Google Sans" w:hAnsi="Google Sans"/>
            <w:color w:val="0000ee"/>
            <w:sz w:val="24"/>
            <w:szCs w:val="24"/>
            <w:u w:val="single"/>
            <w:rtl w:val="0"/>
          </w:rPr>
          <w:t xml:space="preserve">https://figshare.mq.edu.au/ndownloader/files/67383936</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Multi-relational graph contrastive learning with learnable graph, </w:t>
      </w:r>
      <w:hyperlink r:id="rId77">
        <w:r w:rsidDel="00000000" w:rsidR="00000000" w:rsidRPr="00000000">
          <w:rPr>
            <w:rFonts w:ascii="Google Sans" w:cs="Google Sans" w:eastAsia="Google Sans" w:hAnsi="Google Sans"/>
            <w:color w:val="0000ee"/>
            <w:sz w:val="24"/>
            <w:szCs w:val="24"/>
            <w:u w:val="single"/>
            <w:rtl w:val="0"/>
          </w:rPr>
          <w:t xml:space="preserve">https://satoss.uni.lu/members/jun/papers/NN25.pdf</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IJCAI-ECAI2026 PREPRINT - AWS, </w:t>
      </w:r>
      <w:hyperlink r:id="rId78">
        <w:r w:rsidDel="00000000" w:rsidR="00000000" w:rsidRPr="00000000">
          <w:rPr>
            <w:rFonts w:ascii="Google Sans" w:cs="Google Sans" w:eastAsia="Google Sans" w:hAnsi="Google Sans"/>
            <w:color w:val="0000ee"/>
            <w:sz w:val="24"/>
            <w:szCs w:val="24"/>
            <w:u w:val="single"/>
            <w:rtl w:val="0"/>
          </w:rPr>
          <w:t xml:space="preserve">https://ijcai-preprints.s3.us-west-1.amazonaws.com/2026/4963.pdf</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 track accepted papers (Guangzhou) - IJCAI 2025, </w:t>
      </w:r>
      <w:hyperlink r:id="rId79">
        <w:r w:rsidDel="00000000" w:rsidR="00000000" w:rsidRPr="00000000">
          <w:rPr>
            <w:rFonts w:ascii="Google Sans" w:cs="Google Sans" w:eastAsia="Google Sans" w:hAnsi="Google Sans"/>
            <w:color w:val="0000ee"/>
            <w:sz w:val="24"/>
            <w:szCs w:val="24"/>
            <w:u w:val="single"/>
            <w:rtl w:val="0"/>
          </w:rPr>
          <w:t xml:space="preserve">https://2025.ijcai.org/guangzhou-main-track-accepted-papers/</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Newiz430/Pretext: Resource for "A Survey on Self-Supervised, </w:t>
      </w:r>
      <w:hyperlink r:id="rId80">
        <w:r w:rsidDel="00000000" w:rsidR="00000000" w:rsidRPr="00000000">
          <w:rPr>
            <w:rFonts w:ascii="Google Sans" w:cs="Google Sans" w:eastAsia="Google Sans" w:hAnsi="Google Sans"/>
            <w:color w:val="0000ee"/>
            <w:sz w:val="24"/>
            <w:szCs w:val="24"/>
            <w:u w:val="single"/>
            <w:rtl w:val="0"/>
          </w:rPr>
          <w:t xml:space="preserve">https://github.com/Newiz430/Pretext</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Robust Recommendation via Decision Boundary-aware, </w:t>
      </w:r>
      <w:hyperlink r:id="rId81">
        <w:r w:rsidDel="00000000" w:rsidR="00000000" w:rsidRPr="00000000">
          <w:rPr>
            <w:rFonts w:ascii="Google Sans" w:cs="Google Sans" w:eastAsia="Google Sans" w:hAnsi="Google Sans"/>
            <w:color w:val="0000ee"/>
            <w:sz w:val="24"/>
            <w:szCs w:val="24"/>
            <w:u w:val="single"/>
            <w:rtl w:val="0"/>
          </w:rPr>
          <w:t xml:space="preserve">https://arxiv.org/html/2407.10184v2</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Digest: KDD 2024 Papers &amp; Highlights, </w:t>
      </w:r>
      <w:hyperlink r:id="rId82">
        <w:r w:rsidDel="00000000" w:rsidR="00000000" w:rsidRPr="00000000">
          <w:rPr>
            <w:rFonts w:ascii="Google Sans" w:cs="Google Sans" w:eastAsia="Google Sans" w:hAnsi="Google Sans"/>
            <w:color w:val="0000ee"/>
            <w:sz w:val="24"/>
            <w:szCs w:val="24"/>
            <w:u w:val="single"/>
            <w:rtl w:val="0"/>
          </w:rPr>
          <w:t xml:space="preserve">https://www.paperdigest.org/2024/08/kdd-2024-highlights/</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Graph Structure Evaluation and Denoising for Multimodal, </w:t>
      </w:r>
      <w:hyperlink r:id="rId83">
        <w:r w:rsidDel="00000000" w:rsidR="00000000" w:rsidRPr="00000000">
          <w:rPr>
            <w:rFonts w:ascii="Google Sans" w:cs="Google Sans" w:eastAsia="Google Sans" w:hAnsi="Google Sans"/>
            <w:color w:val="0000ee"/>
            <w:sz w:val="24"/>
            <w:szCs w:val="24"/>
            <w:u w:val="single"/>
            <w:rtl w:val="0"/>
          </w:rPr>
          <w:t xml:space="preserve">https://ojs.aaai.org/index.php/AAAI/article/view/33358</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Personalized Modality Weighting Actually Personalized? A ... - arXiv, </w:t>
      </w:r>
      <w:hyperlink r:id="rId84">
        <w:r w:rsidDel="00000000" w:rsidR="00000000" w:rsidRPr="00000000">
          <w:rPr>
            <w:rFonts w:ascii="Google Sans" w:cs="Google Sans" w:eastAsia="Google Sans" w:hAnsi="Google Sans"/>
            <w:color w:val="0000ee"/>
            <w:sz w:val="24"/>
            <w:szCs w:val="24"/>
            <w:u w:val="single"/>
            <w:rtl w:val="0"/>
          </w:rPr>
          <w:t xml:space="preserve">https://arxiv.org/html/2608.05655</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Graph Structure Evaluation and Denoising for Multimodal, </w:t>
      </w:r>
      <w:hyperlink r:id="rId85">
        <w:r w:rsidDel="00000000" w:rsidR="00000000" w:rsidRPr="00000000">
          <w:rPr>
            <w:rFonts w:ascii="Google Sans" w:cs="Google Sans" w:eastAsia="Google Sans" w:hAnsi="Google Sans"/>
            <w:color w:val="0000ee"/>
            <w:sz w:val="24"/>
            <w:szCs w:val="24"/>
            <w:u w:val="single"/>
            <w:rtl w:val="0"/>
          </w:rPr>
          <w:t xml:space="preserve">https://www.atailab.cn/seminar2025Spring/pdf/2025_AAAI_Seeing%20Beyond%20Noise%20Joint%20Graph%20Structure%20Evaluation%20and%20Denoising.pdf</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 Care About Understanding - There's An AI For That, </w:t>
      </w:r>
      <w:hyperlink r:id="rId86">
        <w:r w:rsidDel="00000000" w:rsidR="00000000" w:rsidRPr="00000000">
          <w:rPr>
            <w:rFonts w:ascii="Google Sans" w:cs="Google Sans" w:eastAsia="Google Sans" w:hAnsi="Google Sans"/>
            <w:color w:val="0000ee"/>
            <w:sz w:val="24"/>
            <w:szCs w:val="24"/>
            <w:u w:val="single"/>
            <w:rtl w:val="0"/>
          </w:rPr>
          <w:t xml:space="preserve">https://theresanaiforthat.com/paper/why-we-care-about-understanding-competence-through-predictive-compression/</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Uncertainty-aware Recommendation via Adaptive edge, </w:t>
      </w:r>
      <w:hyperlink r:id="rId87">
        <w:r w:rsidDel="00000000" w:rsidR="00000000" w:rsidRPr="00000000">
          <w:rPr>
            <w:rFonts w:ascii="Google Sans" w:cs="Google Sans" w:eastAsia="Google Sans" w:hAnsi="Google Sans"/>
            <w:color w:val="0000ee"/>
            <w:sz w:val="24"/>
            <w:szCs w:val="24"/>
            <w:u w:val="single"/>
            <w:rtl w:val="0"/>
          </w:rPr>
          <w:t xml:space="preserve">https://arxiv.org/pdf/2609.04574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84" Type="http://schemas.openxmlformats.org/officeDocument/2006/relationships/hyperlink" Target="https://arxiv.org/html/2608.05655" TargetMode="External"/><Relationship Id="rId83" Type="http://schemas.openxmlformats.org/officeDocument/2006/relationships/hyperlink" Target="https://ojs.aaai.org/index.php/AAAI/article/view/33358" TargetMode="External"/><Relationship Id="rId42" Type="http://schemas.openxmlformats.org/officeDocument/2006/relationships/image" Target="media/image7.png"/><Relationship Id="rId86" Type="http://schemas.openxmlformats.org/officeDocument/2006/relationships/hyperlink" Target="https://theresanaiforthat.com/paper/why-we-care-about-understanding-competence-through-predictive-compression/" TargetMode="External"/><Relationship Id="rId41" Type="http://schemas.openxmlformats.org/officeDocument/2006/relationships/image" Target="media/image26.png"/><Relationship Id="rId85" Type="http://schemas.openxmlformats.org/officeDocument/2006/relationships/hyperlink" Target="https://www.atailab.cn/seminar2025Spring/pdf/2025_AAAI_Seeing%20Beyond%20Noise%20Joint%20Graph%20Structure%20Evaluation%20and%20Denoising.pdf" TargetMode="External"/><Relationship Id="rId44" Type="http://schemas.openxmlformats.org/officeDocument/2006/relationships/image" Target="media/image12.png"/><Relationship Id="rId43" Type="http://schemas.openxmlformats.org/officeDocument/2006/relationships/image" Target="media/image14.png"/><Relationship Id="rId87" Type="http://schemas.openxmlformats.org/officeDocument/2006/relationships/hyperlink" Target="https://arxiv.org/pdf/2609.04574" TargetMode="External"/><Relationship Id="rId46" Type="http://schemas.openxmlformats.org/officeDocument/2006/relationships/image" Target="media/image15.png"/><Relationship Id="rId45" Type="http://schemas.openxmlformats.org/officeDocument/2006/relationships/image" Target="media/image3.png"/><Relationship Id="rId80" Type="http://schemas.openxmlformats.org/officeDocument/2006/relationships/hyperlink" Target="https://github.com/Newiz430/Pretext" TargetMode="External"/><Relationship Id="rId82" Type="http://schemas.openxmlformats.org/officeDocument/2006/relationships/hyperlink" Target="https://www.paperdigest.org/2024/08/kdd-2024-highlights/" TargetMode="External"/><Relationship Id="rId81" Type="http://schemas.openxmlformats.org/officeDocument/2006/relationships/hyperlink" Target="https://arxiv.org/html/2407.10184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6.png"/><Relationship Id="rId47" Type="http://schemas.openxmlformats.org/officeDocument/2006/relationships/image" Target="media/image28.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48.png"/><Relationship Id="rId8" Type="http://schemas.openxmlformats.org/officeDocument/2006/relationships/image" Target="media/image29.png"/><Relationship Id="rId73" Type="http://schemas.openxmlformats.org/officeDocument/2006/relationships/hyperlink" Target="https://arxiv.org/html/2501.01066v1" TargetMode="External"/><Relationship Id="rId72" Type="http://schemas.openxmlformats.org/officeDocument/2006/relationships/hyperlink" Target="https://www.computer.org/csdl/magazine/mu/2025/03/10897816/24uGDjrux5C" TargetMode="External"/><Relationship Id="rId31" Type="http://schemas.openxmlformats.org/officeDocument/2006/relationships/image" Target="media/image34.png"/><Relationship Id="rId75" Type="http://schemas.openxmlformats.org/officeDocument/2006/relationships/hyperlink" Target="https://www.researchgate.net/publication/412233059_A_Survey_of_Causal_Learning_in_Graph-Based_Recommender_Systems" TargetMode="External"/><Relationship Id="rId30" Type="http://schemas.openxmlformats.org/officeDocument/2006/relationships/image" Target="media/image39.png"/><Relationship Id="rId74" Type="http://schemas.openxmlformats.org/officeDocument/2006/relationships/hyperlink" Target="https://www.sigweb.org/toc/www23.html" TargetMode="External"/><Relationship Id="rId33" Type="http://schemas.openxmlformats.org/officeDocument/2006/relationships/image" Target="media/image31.png"/><Relationship Id="rId77" Type="http://schemas.openxmlformats.org/officeDocument/2006/relationships/hyperlink" Target="https://satoss.uni.lu/members/jun/papers/NN25.pdf" TargetMode="External"/><Relationship Id="rId32" Type="http://schemas.openxmlformats.org/officeDocument/2006/relationships/image" Target="media/image32.png"/><Relationship Id="rId76" Type="http://schemas.openxmlformats.org/officeDocument/2006/relationships/hyperlink" Target="https://figshare.mq.edu.au/ndownloader/files/67383936" TargetMode="External"/><Relationship Id="rId35" Type="http://schemas.openxmlformats.org/officeDocument/2006/relationships/image" Target="media/image27.png"/><Relationship Id="rId79" Type="http://schemas.openxmlformats.org/officeDocument/2006/relationships/hyperlink" Target="https://2025.ijcai.org/guangzhou-main-track-accepted-papers/" TargetMode="External"/><Relationship Id="rId34" Type="http://schemas.openxmlformats.org/officeDocument/2006/relationships/image" Target="media/image38.png"/><Relationship Id="rId78" Type="http://schemas.openxmlformats.org/officeDocument/2006/relationships/hyperlink" Target="https://ijcai-preprints.s3.us-west-1.amazonaws.com/2026/4963.pdf" TargetMode="External"/><Relationship Id="rId71" Type="http://schemas.openxmlformats.org/officeDocument/2006/relationships/hyperlink" Target="https://arxiv.org/pdf/2211.06924" TargetMode="External"/><Relationship Id="rId70" Type="http://schemas.openxmlformats.org/officeDocument/2006/relationships/hyperlink" Target="https://www.paperdigest.org/2025/09/most-influential-mm-papers-2025-09-version/" TargetMode="External"/><Relationship Id="rId37" Type="http://schemas.openxmlformats.org/officeDocument/2006/relationships/image" Target="media/image1.png"/><Relationship Id="rId36" Type="http://schemas.openxmlformats.org/officeDocument/2006/relationships/image" Target="media/image17.png"/><Relationship Id="rId39" Type="http://schemas.openxmlformats.org/officeDocument/2006/relationships/image" Target="media/image9.png"/><Relationship Id="rId38" Type="http://schemas.openxmlformats.org/officeDocument/2006/relationships/image" Target="media/image2.png"/><Relationship Id="rId62" Type="http://schemas.openxmlformats.org/officeDocument/2006/relationships/image" Target="media/image24.png"/><Relationship Id="rId61" Type="http://schemas.openxmlformats.org/officeDocument/2006/relationships/image" Target="media/image35.png"/><Relationship Id="rId20" Type="http://schemas.openxmlformats.org/officeDocument/2006/relationships/image" Target="media/image55.png"/><Relationship Id="rId64" Type="http://schemas.openxmlformats.org/officeDocument/2006/relationships/image" Target="media/image18.png"/><Relationship Id="rId63" Type="http://schemas.openxmlformats.org/officeDocument/2006/relationships/image" Target="media/image37.png"/><Relationship Id="rId22" Type="http://schemas.openxmlformats.org/officeDocument/2006/relationships/image" Target="media/image61.png"/><Relationship Id="rId66" Type="http://schemas.openxmlformats.org/officeDocument/2006/relationships/image" Target="media/image51.png"/><Relationship Id="rId21" Type="http://schemas.openxmlformats.org/officeDocument/2006/relationships/image" Target="media/image56.png"/><Relationship Id="rId65" Type="http://schemas.openxmlformats.org/officeDocument/2006/relationships/image" Target="media/image23.png"/><Relationship Id="rId24" Type="http://schemas.openxmlformats.org/officeDocument/2006/relationships/image" Target="media/image57.png"/><Relationship Id="rId68" Type="http://schemas.openxmlformats.org/officeDocument/2006/relationships/hyperlink" Target="https://www.computer.org/csdl/journal/tk/2026/06/11474985/2fuLNbAYTGU" TargetMode="External"/><Relationship Id="rId23" Type="http://schemas.openxmlformats.org/officeDocument/2006/relationships/image" Target="media/image59.png"/><Relationship Id="rId67" Type="http://schemas.openxmlformats.org/officeDocument/2006/relationships/image" Target="media/image13.png"/><Relationship Id="rId60" Type="http://schemas.openxmlformats.org/officeDocument/2006/relationships/image" Target="media/image20.png"/><Relationship Id="rId26" Type="http://schemas.openxmlformats.org/officeDocument/2006/relationships/image" Target="media/image16.png"/><Relationship Id="rId25" Type="http://schemas.openxmlformats.org/officeDocument/2006/relationships/image" Target="media/image52.png"/><Relationship Id="rId69" Type="http://schemas.openxmlformats.org/officeDocument/2006/relationships/hyperlink" Target="https://arxiv.org/pdf/2604.27117" TargetMode="External"/><Relationship Id="rId28" Type="http://schemas.openxmlformats.org/officeDocument/2006/relationships/image" Target="media/image10.png"/><Relationship Id="rId27" Type="http://schemas.openxmlformats.org/officeDocument/2006/relationships/image" Target="media/image21.png"/><Relationship Id="rId29" Type="http://schemas.openxmlformats.org/officeDocument/2006/relationships/image" Target="media/image44.png"/><Relationship Id="rId51" Type="http://schemas.openxmlformats.org/officeDocument/2006/relationships/image" Target="media/image4.png"/><Relationship Id="rId50" Type="http://schemas.openxmlformats.org/officeDocument/2006/relationships/image" Target="media/image8.png"/><Relationship Id="rId53" Type="http://schemas.openxmlformats.org/officeDocument/2006/relationships/image" Target="media/image30.png"/><Relationship Id="rId52" Type="http://schemas.openxmlformats.org/officeDocument/2006/relationships/image" Target="media/image5.png"/><Relationship Id="rId11" Type="http://schemas.openxmlformats.org/officeDocument/2006/relationships/image" Target="media/image33.png"/><Relationship Id="rId55" Type="http://schemas.openxmlformats.org/officeDocument/2006/relationships/image" Target="media/image40.png"/><Relationship Id="rId10" Type="http://schemas.openxmlformats.org/officeDocument/2006/relationships/image" Target="media/image45.png"/><Relationship Id="rId54" Type="http://schemas.openxmlformats.org/officeDocument/2006/relationships/image" Target="media/image43.png"/><Relationship Id="rId13" Type="http://schemas.openxmlformats.org/officeDocument/2006/relationships/image" Target="media/image46.png"/><Relationship Id="rId57" Type="http://schemas.openxmlformats.org/officeDocument/2006/relationships/image" Target="media/image62.png"/><Relationship Id="rId12" Type="http://schemas.openxmlformats.org/officeDocument/2006/relationships/image" Target="media/image47.png"/><Relationship Id="rId56" Type="http://schemas.openxmlformats.org/officeDocument/2006/relationships/image" Target="media/image41.png"/><Relationship Id="rId15" Type="http://schemas.openxmlformats.org/officeDocument/2006/relationships/image" Target="media/image53.png"/><Relationship Id="rId59" Type="http://schemas.openxmlformats.org/officeDocument/2006/relationships/image" Target="media/image22.png"/><Relationship Id="rId14" Type="http://schemas.openxmlformats.org/officeDocument/2006/relationships/image" Target="media/image36.png"/><Relationship Id="rId58" Type="http://schemas.openxmlformats.org/officeDocument/2006/relationships/image" Target="media/image60.png"/><Relationship Id="rId17" Type="http://schemas.openxmlformats.org/officeDocument/2006/relationships/image" Target="media/image49.png"/><Relationship Id="rId16" Type="http://schemas.openxmlformats.org/officeDocument/2006/relationships/image" Target="media/image50.png"/><Relationship Id="rId19" Type="http://schemas.openxmlformats.org/officeDocument/2006/relationships/image" Target="media/image54.png"/><Relationship Id="rId18" Type="http://schemas.openxmlformats.org/officeDocument/2006/relationships/image" Target="media/image5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