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6D0A7" w14:textId="77777777" w:rsidR="009524A6" w:rsidRDefault="00000000">
      <w:pPr>
        <w:spacing w:after="480" w:line="360" w:lineRule="atLeast"/>
        <w:jc w:val="center"/>
      </w:pPr>
      <w:r>
        <w:rPr>
          <w:b/>
          <w:bCs/>
          <w:sz w:val="28"/>
          <w:szCs w:val="28"/>
        </w:rPr>
        <w:t>Multi-Objective Optimization of Pile-System Cross-Sections for a 100,000-DWT Container Wharf: A Comparison Between MOFDA and MOSFOA</w:t>
      </w:r>
    </w:p>
    <w:p w14:paraId="6A7F6FFB" w14:textId="77777777" w:rsidR="009524A6" w:rsidRDefault="00000000">
      <w:pPr>
        <w:spacing w:after="120"/>
        <w:jc w:val="center"/>
      </w:pPr>
      <w:r>
        <w:rPr>
          <w:b/>
          <w:bCs/>
        </w:rPr>
        <w:t>Thanh Do-Quang¹,*, T. Vu-Huu¹, Thanh Cuong-Le²</w:t>
      </w:r>
    </w:p>
    <w:p w14:paraId="35F7DDCE" w14:textId="77777777" w:rsidR="009524A6" w:rsidRDefault="00000000">
      <w:pPr>
        <w:spacing w:after="200" w:line="220" w:lineRule="atLeast"/>
        <w:jc w:val="center"/>
      </w:pPr>
      <w:r>
        <w:rPr>
          <w:i/>
          <w:iCs/>
          <w:sz w:val="18"/>
          <w:szCs w:val="18"/>
        </w:rPr>
        <w:t>¹ Faculty of Civil Engineering, Vietnam Maritime University, Haiphong City, Vietnam</w:t>
      </w:r>
      <w:r>
        <w:br/>
      </w:r>
      <w:r>
        <w:rPr>
          <w:i/>
          <w:iCs/>
          <w:sz w:val="18"/>
          <w:szCs w:val="18"/>
        </w:rPr>
        <w:t>² Faculty of Civil Engineering and Electricity, Ho Chi Minh City Open University, Vietnam</w:t>
      </w:r>
      <w:r>
        <w:br/>
      </w:r>
      <w:r>
        <w:rPr>
          <w:i/>
          <w:iCs/>
          <w:sz w:val="18"/>
          <w:szCs w:val="18"/>
        </w:rPr>
        <w:t>*Corresponding author: thanhdq.ctt@viamru.edu.vn</w:t>
      </w:r>
    </w:p>
    <w:p w14:paraId="0104F7B7" w14:textId="77777777" w:rsidR="009524A6" w:rsidRDefault="00000000">
      <w:pPr>
        <w:spacing w:before="600" w:after="360" w:line="220" w:lineRule="atLeast"/>
        <w:ind w:left="567" w:right="567"/>
        <w:jc w:val="both"/>
      </w:pPr>
      <w:r>
        <w:rPr>
          <w:b/>
          <w:bCs/>
          <w:sz w:val="18"/>
          <w:szCs w:val="18"/>
        </w:rPr>
        <w:t xml:space="preserve">Abstract. </w:t>
      </w:r>
      <w:r>
        <w:rPr>
          <w:sz w:val="18"/>
          <w:szCs w:val="18"/>
        </w:rPr>
        <w:t>Pile-supported container wharves carry a large mass of pile material, so a pile cross-section can be selected through constrained multi-objective optimization rather than experience alone. This study formulates a discrete multi-objective problem for the cross-sections of prestressed spun-concrete piles and steel pipe piles at an actual 100,000-DWT container wharf (4,080 combinations), subject to structural constraints, a geotechnical bearing-capacity constraint under TCVN 10304:2025, and a pile-uplift constraint. Material mass and maximum lateral displacement are evaluated through a SAP2000 model coupled with MATLAB via OAPI. Two multi-objective metaheuristics previously reported by the same group, MOFDA (flow-direction search, hybrid leader selection) and MOSFOA (starfish-inspired search, run here as the enhanced E-MOSFOA variant), are compared on the identical problem, model, objectives, constraints and evaluation budget (12,550 finite-element calls/run, 30 independent runs each), benchmarked against a reference Pareto front from an exhaustive search of all 4,080 combinations (59 non-dominated solutions). E-MOSFOA converges faster and approaches the reference front more closely under the same budget (mean normalised IGD 0.000100 versus 0.000506 for MOFDA; Wilcoxon rank-sum p = 1.07×10⁻¹⁰), reaching the stable hypervolume region after only about 1,000–1,500 evaluations against roughly 5,000–7,000 for MOFDA, and attains higher, steadier coverage of the reference front (98.76% ± 0.88% versus 89.27% ± 4.46%). These findings offer a quantitative reference for algorithm selection in similarly constrained pile-cross-section design problems for port structures.</w:t>
      </w:r>
    </w:p>
    <w:p w14:paraId="369FCCB9" w14:textId="77777777" w:rsidR="009524A6" w:rsidRDefault="00000000">
      <w:pPr>
        <w:spacing w:before="220"/>
        <w:ind w:left="567" w:right="567"/>
      </w:pPr>
      <w:r>
        <w:rPr>
          <w:b/>
          <w:bCs/>
          <w:sz w:val="18"/>
          <w:szCs w:val="18"/>
        </w:rPr>
        <w:t xml:space="preserve">Keywords: </w:t>
      </w:r>
      <w:r>
        <w:rPr>
          <w:sz w:val="18"/>
          <w:szCs w:val="18"/>
        </w:rPr>
        <w:t>multi-objective optimization; MOFDA algorithm; MOSFOA algorithm; pile cross-section design; pile-supported container wharf; SAP2000–MATLAB coupling.</w:t>
      </w:r>
    </w:p>
    <w:p w14:paraId="2B7D9340" w14:textId="77777777" w:rsidR="009524A6" w:rsidRDefault="00000000">
      <w:pPr>
        <w:keepNext/>
        <w:keepLines/>
        <w:spacing w:before="360" w:after="240" w:line="300" w:lineRule="atLeast"/>
      </w:pPr>
      <w:r>
        <w:rPr>
          <w:b/>
          <w:bCs/>
          <w:sz w:val="24"/>
          <w:szCs w:val="24"/>
        </w:rPr>
        <w:t>1. Introduction</w:t>
      </w:r>
    </w:p>
    <w:p w14:paraId="0B86CC7B" w14:textId="77777777" w:rsidR="009524A6" w:rsidRDefault="00000000">
      <w:pPr>
        <w:ind w:firstLine="227"/>
        <w:jc w:val="both"/>
      </w:pPr>
      <w:r>
        <w:t xml:space="preserve">Pile-supported container wharves are a common structural form for large-tonnage seaports in Vietnam, and the pile system — prestressed spun-concrete (PHC) piles combined with steel pipe piles — dominates both load-bearing function and material cost. Constrained multi-objective optimization coupled with a finite-element model lets </w:t>
      </w:r>
      <w:r>
        <w:lastRenderedPageBreak/>
        <w:t>the trade-off between material mass and displacement be explored systematically rather than only verified for a single, experience-based design.</w:t>
      </w:r>
    </w:p>
    <w:p w14:paraId="4D5F3013" w14:textId="77777777" w:rsidR="009524A6" w:rsidRDefault="00000000">
      <w:pPr>
        <w:ind w:firstLine="227"/>
        <w:jc w:val="both"/>
      </w:pPr>
      <w:r>
        <w:t>Two metaheuristic-based multi-objective algorithms have been developed and reported by this group: MOFDA, a flow-direction algorithm with hybrid leader selection, validated on benchmark functions, constrained engineering problems and a steel-frame structure [1]; and MOSFOA, a starfish-inspired algorithm offered as B-MOSFOA and the enhanced E-MOSFOA, validated on IMOP/UF/RM-MEDA benchmarks and a separate port structure [2]. Each was verified on a different structure under non-identical conditions, so no direct comparison had existed. This paper asks: under the same MATLAB–SAP2000 evaluation system, objectives, constraints and finite-element budget, how do MOFDA and MOSFOA differ in solution quality and convergence speed on one real pile-cross-section design problem — the 100,000-DWT Lach Huyen container wharf, 4,080 design combinations, structural and geotechnical constraints (TCVN 10304:2025) and pile uplift? The contributions are: (i) a discrete optimization formulation with structural, geotechnical and uplift constraints; (ii) an exhaustive reference Pareto front independent of either algorithm's search; and (iii) a quantitative comparison of MOFDA and E-MOSFOA via IGD, hypervolume, Pareto coverage, the Wilcoxon rank-sum test and FE-based convergence curves, with conclusions drawn only from the data in Section 3.</w:t>
      </w:r>
    </w:p>
    <w:p w14:paraId="57C414E1" w14:textId="77777777" w:rsidR="009524A6" w:rsidRDefault="00000000">
      <w:pPr>
        <w:keepNext/>
        <w:keepLines/>
        <w:spacing w:before="360" w:after="240" w:line="300" w:lineRule="atLeast"/>
      </w:pPr>
      <w:r>
        <w:rPr>
          <w:b/>
          <w:bCs/>
          <w:sz w:val="24"/>
          <w:szCs w:val="24"/>
        </w:rPr>
        <w:t>2. Research Method</w:t>
      </w:r>
    </w:p>
    <w:p w14:paraId="1861DCA0" w14:textId="77777777" w:rsidR="009524A6" w:rsidRDefault="00000000">
      <w:pPr>
        <w:keepNext/>
        <w:keepLines/>
        <w:spacing w:before="360" w:after="160"/>
      </w:pPr>
      <w:r>
        <w:rPr>
          <w:b/>
          <w:bCs/>
        </w:rPr>
        <w:t>2.1. Structure, Finite-Element Model and Design Variables</w:t>
      </w:r>
    </w:p>
    <w:p w14:paraId="7D599447" w14:textId="77777777" w:rsidR="009524A6" w:rsidRDefault="00000000">
      <w:pPr>
        <w:ind w:firstLine="227"/>
        <w:jc w:val="both"/>
        <w:rPr>
          <w:lang w:val="en-GB"/>
        </w:rPr>
      </w:pPr>
      <w:r>
        <w:t>The structure is a 100,000-DWT container wharf of the Lach Huyen international gateway port, Haiphong — an onshore quay on a high-piled deck. The analysed segment is about 75 m long, deck-top at +5.50 m, dredged bed at −16.0 m, for a design vessel of 330 m length and 14.8 m draught. Each segment has 132 prestressed spun-concrete piles and 60 steel pipe piles (D1016), 192 in total; pile cross-section is the design variable, applied uniformly per pile type, with position, rake and embedment length held fixed so that geotechnical constraints stay consistent across combinations. A linear-static SAP2000 model (4,913 joints, 1,734 frame and 4,488 shell elements) provides displacements and forces under the governing envelope combination "BAO KT"; the storm combination is outside this envelope and outside the present scope (Section 3.4). The pile tips sit in a stiff clay/weathered claystone layer (concrete piles) and a strongly fractured weathered rock layer (steel piles); pile-group interaction is not considered.</w:t>
      </w:r>
    </w:p>
    <w:p w14:paraId="37497D14" w14:textId="195046C1" w:rsidR="00950074" w:rsidRDefault="00950074">
      <w:pPr>
        <w:spacing w:before="120" w:after="240" w:line="220" w:lineRule="atLeast"/>
        <w:jc w:val="center"/>
        <w:rPr>
          <w:b/>
          <w:bCs/>
          <w:sz w:val="18"/>
          <w:szCs w:val="18"/>
          <w:lang w:val="en-GB"/>
        </w:rPr>
      </w:pPr>
      <w:r>
        <w:rPr>
          <w:noProof/>
        </w:rPr>
        <w:lastRenderedPageBreak/>
        <w:drawing>
          <wp:inline distT="0" distB="0" distL="0" distR="0" wp14:anchorId="37B70F77" wp14:editId="59887B5D">
            <wp:extent cx="3093720" cy="2485801"/>
            <wp:effectExtent l="0" t="0" r="0" b="0"/>
            <wp:docPr id="1382175512" name="Picture 1" descr="A structure made of metal ro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75512" name="Picture 1" descr="A structure made of metal rod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859" cy="2494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37AA0" w14:textId="1B94D203" w:rsidR="009524A6" w:rsidRDefault="00000000">
      <w:pPr>
        <w:spacing w:before="120" w:after="240" w:line="220" w:lineRule="atLeast"/>
        <w:jc w:val="center"/>
      </w:pPr>
      <w:r>
        <w:rPr>
          <w:b/>
          <w:bCs/>
          <w:sz w:val="18"/>
          <w:szCs w:val="18"/>
        </w:rPr>
        <w:t>Fig. 1.</w:t>
      </w:r>
      <w:r>
        <w:rPr>
          <w:sz w:val="18"/>
          <w:szCs w:val="18"/>
        </w:rPr>
        <w:t xml:space="preserve"> SAP2000 model of the 100,000-DWT container wharf.</w:t>
      </w:r>
    </w:p>
    <w:p w14:paraId="30B42D29" w14:textId="77777777" w:rsidR="009524A6" w:rsidRDefault="00000000">
      <w:pPr>
        <w:ind w:firstLine="227"/>
        <w:jc w:val="both"/>
      </w:pPr>
      <w:r>
        <w:t>Three discrete design variables are used:</w:t>
      </w:r>
    </w:p>
    <w:p w14:paraId="0B353A11" w14:textId="77777777" w:rsidR="009524A6" w:rsidRDefault="00000000">
      <w:pPr>
        <w:tabs>
          <w:tab w:val="center" w:pos="3458"/>
          <w:tab w:val="right" w:pos="6916"/>
        </w:tabs>
        <w:spacing w:before="160" w:after="160"/>
      </w:pPr>
      <w:r>
        <w:tab/>
      </w:r>
      <m:oMath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 CatId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BTCT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steel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steel</m:t>
            </m:r>
          </m:sub>
        </m:sSub>
        <m: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ab/>
        <w:t>(1)</w:t>
      </w:r>
    </w:p>
    <w:p w14:paraId="14014C2F" w14:textId="77777777" w:rsidR="009524A6" w:rsidRDefault="00000000">
      <w:pPr>
        <w:ind w:firstLine="227"/>
        <w:jc w:val="both"/>
      </w:pPr>
      <w:r>
        <w:t xml:space="preserve">where </w:t>
      </w:r>
      <m:oMath>
        <m:r>
          <w:rPr>
            <w:rFonts w:ascii="Cambria Math" w:hAnsi="Cambria Math"/>
          </w:rPr>
          <m:t>CatId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BTCT</m:t>
            </m:r>
          </m:sub>
        </m:sSub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,…,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indexes a row of the AMACCAO PHC-pile catalogue (Table 1, TCVN 7888:2014/JIS A 5373:2016 [3]);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steel</m:t>
            </m:r>
          </m:sub>
        </m:sSub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0.800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1.300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m (step 0.01 m, 51 values);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steel</m:t>
            </m:r>
          </m:sub>
        </m:sSub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0.010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0.025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m (step 0.001 m, 16 values) — giving 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51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16</m:t>
        </m:r>
      </m:oMath>
      <w:r>
        <w:t xml:space="preserve">= </w:t>
      </w:r>
      <w:r>
        <w:rPr>
          <w:b/>
          <w:bCs/>
        </w:rPr>
        <w:t>4,080 combinations</w:t>
      </w:r>
      <w:r>
        <w:t>.</w:t>
      </w:r>
    </w:p>
    <w:p w14:paraId="10D46EC9" w14:textId="77777777" w:rsidR="009524A6" w:rsidRDefault="00000000">
      <w:pPr>
        <w:keepNext/>
        <w:keepLines/>
        <w:spacing w:before="240" w:after="120" w:line="220" w:lineRule="atLeast"/>
        <w:jc w:val="center"/>
      </w:pPr>
      <w:r>
        <w:rPr>
          <w:b/>
          <w:bCs/>
          <w:sz w:val="18"/>
          <w:szCs w:val="18"/>
        </w:rPr>
        <w:t>Table 1.</w:t>
      </w:r>
      <w:r>
        <w:rPr>
          <w:sz w:val="18"/>
          <w:szCs w:val="18"/>
        </w:rPr>
        <w:t xml:space="preserve"> AMACCAO PHC-pile catalogue used (Class A, TCVN 7888:2014)</w:t>
      </w:r>
    </w:p>
    <w:tbl>
      <w:tblPr>
        <w:tblW w:w="6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999999"/>
          <w:insideV w:val="single" w:sz="2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8"/>
        <w:gridCol w:w="988"/>
        <w:gridCol w:w="988"/>
        <w:gridCol w:w="988"/>
        <w:gridCol w:w="988"/>
        <w:gridCol w:w="988"/>
        <w:gridCol w:w="988"/>
      </w:tblGrid>
      <w:tr w:rsidR="009524A6" w14:paraId="7D3FBB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88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AAC1FA" w14:textId="77777777" w:rsidR="009524A6" w:rsidRDefault="00000000">
            <w:r>
              <w:rPr>
                <w:b/>
                <w:bCs/>
                <w:sz w:val="18"/>
                <w:szCs w:val="18"/>
              </w:rPr>
              <w:t>CatIdx</w:t>
            </w:r>
          </w:p>
        </w:tc>
        <w:tc>
          <w:tcPr>
            <w:tcW w:w="988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E06D0F" w14:textId="77777777" w:rsidR="009524A6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D (m)</w:t>
            </w:r>
          </w:p>
        </w:tc>
        <w:tc>
          <w:tcPr>
            <w:tcW w:w="988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C4BF1A" w14:textId="77777777" w:rsidR="009524A6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t (m)</w:t>
            </w:r>
          </w:p>
        </w:tc>
        <w:tc>
          <w:tcPr>
            <w:tcW w:w="988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E41C98" w14:textId="77777777" w:rsidR="009524A6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A (m²)</w:t>
            </w:r>
          </w:p>
        </w:tc>
        <w:tc>
          <w:tcPr>
            <w:tcW w:w="988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29A606" w14:textId="77777777" w:rsidR="009524A6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Mcr (t·m)</w:t>
            </w:r>
          </w:p>
        </w:tc>
        <w:tc>
          <w:tcPr>
            <w:tcW w:w="988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D2ED7F" w14:textId="77777777" w:rsidR="009524A6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Mu (t·m)</w:t>
            </w:r>
          </w:p>
        </w:tc>
        <w:tc>
          <w:tcPr>
            <w:tcW w:w="988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EE1F9D" w14:textId="77777777" w:rsidR="009524A6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Pvl (t)</w:t>
            </w:r>
          </w:p>
        </w:tc>
      </w:tr>
      <w:tr w:rsidR="009524A6" w14:paraId="25976588" w14:textId="77777777">
        <w:tblPrEx>
          <w:tblCellMar>
            <w:top w:w="0" w:type="dxa"/>
            <w:bottom w:w="0" w:type="dxa"/>
          </w:tblCellMar>
        </w:tblPrEx>
        <w:tc>
          <w:tcPr>
            <w:tcW w:w="98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FF71B3" w14:textId="77777777" w:rsidR="009524A6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98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B9A5C9" w14:textId="77777777" w:rsidR="009524A6" w:rsidRDefault="00000000">
            <w:pPr>
              <w:jc w:val="right"/>
            </w:pPr>
            <w:r>
              <w:rPr>
                <w:sz w:val="18"/>
                <w:szCs w:val="18"/>
              </w:rPr>
              <w:t>0.600</w:t>
            </w:r>
          </w:p>
        </w:tc>
        <w:tc>
          <w:tcPr>
            <w:tcW w:w="98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19EDFC" w14:textId="77777777" w:rsidR="009524A6" w:rsidRDefault="00000000">
            <w:pPr>
              <w:jc w:val="right"/>
            </w:pPr>
            <w:r>
              <w:rPr>
                <w:sz w:val="18"/>
                <w:szCs w:val="18"/>
              </w:rPr>
              <w:t>0.100</w:t>
            </w:r>
          </w:p>
        </w:tc>
        <w:tc>
          <w:tcPr>
            <w:tcW w:w="98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CB877B" w14:textId="77777777" w:rsidR="009524A6" w:rsidRDefault="00000000">
            <w:pPr>
              <w:jc w:val="right"/>
            </w:pPr>
            <w:r>
              <w:rPr>
                <w:sz w:val="18"/>
                <w:szCs w:val="18"/>
              </w:rPr>
              <w:t>0.15708</w:t>
            </w:r>
          </w:p>
        </w:tc>
        <w:tc>
          <w:tcPr>
            <w:tcW w:w="98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195699" w14:textId="77777777" w:rsidR="009524A6" w:rsidRDefault="00000000">
            <w:pPr>
              <w:jc w:val="right"/>
            </w:pPr>
            <w:r>
              <w:rPr>
                <w:sz w:val="18"/>
                <w:szCs w:val="18"/>
              </w:rPr>
              <w:t>17.00</w:t>
            </w:r>
          </w:p>
        </w:tc>
        <w:tc>
          <w:tcPr>
            <w:tcW w:w="98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1BE80C" w14:textId="77777777" w:rsidR="009524A6" w:rsidRDefault="00000000">
            <w:pPr>
              <w:jc w:val="right"/>
            </w:pPr>
            <w:r>
              <w:rPr>
                <w:sz w:val="18"/>
                <w:szCs w:val="18"/>
              </w:rPr>
              <w:t>25.51</w:t>
            </w:r>
          </w:p>
        </w:tc>
        <w:tc>
          <w:tcPr>
            <w:tcW w:w="98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A2049B" w14:textId="77777777" w:rsidR="009524A6" w:rsidRDefault="00000000">
            <w:pPr>
              <w:jc w:val="right"/>
            </w:pPr>
            <w:r>
              <w:rPr>
                <w:sz w:val="18"/>
                <w:szCs w:val="18"/>
              </w:rPr>
              <w:t>380</w:t>
            </w:r>
          </w:p>
        </w:tc>
      </w:tr>
      <w:tr w:rsidR="009524A6" w14:paraId="2765B97B" w14:textId="77777777">
        <w:tblPrEx>
          <w:tblCellMar>
            <w:top w:w="0" w:type="dxa"/>
            <w:bottom w:w="0" w:type="dxa"/>
          </w:tblCellMar>
        </w:tblPrEx>
        <w:tc>
          <w:tcPr>
            <w:tcW w:w="98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1EE73A" w14:textId="77777777" w:rsidR="009524A6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98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99673A" w14:textId="77777777" w:rsidR="009524A6" w:rsidRDefault="00000000">
            <w:pPr>
              <w:jc w:val="right"/>
            </w:pPr>
            <w:r>
              <w:rPr>
                <w:sz w:val="18"/>
                <w:szCs w:val="18"/>
              </w:rPr>
              <w:t>0.700</w:t>
            </w:r>
          </w:p>
        </w:tc>
        <w:tc>
          <w:tcPr>
            <w:tcW w:w="98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19D6AB" w14:textId="77777777" w:rsidR="009524A6" w:rsidRDefault="00000000">
            <w:pPr>
              <w:jc w:val="right"/>
            </w:pPr>
            <w:r>
              <w:rPr>
                <w:sz w:val="18"/>
                <w:szCs w:val="18"/>
              </w:rPr>
              <w:t>0.110</w:t>
            </w:r>
          </w:p>
        </w:tc>
        <w:tc>
          <w:tcPr>
            <w:tcW w:w="98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4D133E" w14:textId="77777777" w:rsidR="009524A6" w:rsidRDefault="00000000">
            <w:pPr>
              <w:jc w:val="right"/>
            </w:pPr>
            <w:r>
              <w:rPr>
                <w:sz w:val="18"/>
                <w:szCs w:val="18"/>
              </w:rPr>
              <w:t>0.20389</w:t>
            </w:r>
          </w:p>
        </w:tc>
        <w:tc>
          <w:tcPr>
            <w:tcW w:w="98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E82968" w14:textId="77777777" w:rsidR="009524A6" w:rsidRDefault="00000000">
            <w:pPr>
              <w:jc w:val="right"/>
            </w:pPr>
            <w:r>
              <w:rPr>
                <w:sz w:val="18"/>
                <w:szCs w:val="18"/>
              </w:rPr>
              <w:t>26.00</w:t>
            </w:r>
          </w:p>
        </w:tc>
        <w:tc>
          <w:tcPr>
            <w:tcW w:w="98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897A62" w14:textId="77777777" w:rsidR="009524A6" w:rsidRDefault="00000000">
            <w:pPr>
              <w:jc w:val="right"/>
            </w:pPr>
            <w:r>
              <w:rPr>
                <w:sz w:val="18"/>
                <w:szCs w:val="18"/>
              </w:rPr>
              <w:t>39.00</w:t>
            </w:r>
          </w:p>
        </w:tc>
        <w:tc>
          <w:tcPr>
            <w:tcW w:w="98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28E854" w14:textId="77777777" w:rsidR="009524A6" w:rsidRDefault="00000000">
            <w:pPr>
              <w:jc w:val="right"/>
            </w:pPr>
            <w:r>
              <w:rPr>
                <w:sz w:val="18"/>
                <w:szCs w:val="18"/>
              </w:rPr>
              <w:t>500</w:t>
            </w:r>
          </w:p>
        </w:tc>
      </w:tr>
      <w:tr w:rsidR="009524A6" w14:paraId="193D9508" w14:textId="77777777">
        <w:tblPrEx>
          <w:tblCellMar>
            <w:top w:w="0" w:type="dxa"/>
            <w:bottom w:w="0" w:type="dxa"/>
          </w:tblCellMar>
        </w:tblPrEx>
        <w:tc>
          <w:tcPr>
            <w:tcW w:w="98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896ACB" w14:textId="77777777" w:rsidR="009524A6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98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D2AFAF" w14:textId="77777777" w:rsidR="009524A6" w:rsidRDefault="00000000">
            <w:pPr>
              <w:jc w:val="right"/>
            </w:pPr>
            <w:r>
              <w:rPr>
                <w:sz w:val="18"/>
                <w:szCs w:val="18"/>
              </w:rPr>
              <w:t>0.800</w:t>
            </w:r>
          </w:p>
        </w:tc>
        <w:tc>
          <w:tcPr>
            <w:tcW w:w="98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AAA06A" w14:textId="77777777" w:rsidR="009524A6" w:rsidRDefault="00000000">
            <w:pPr>
              <w:jc w:val="right"/>
            </w:pPr>
            <w:r>
              <w:rPr>
                <w:sz w:val="18"/>
                <w:szCs w:val="18"/>
              </w:rPr>
              <w:t>0.120</w:t>
            </w:r>
          </w:p>
        </w:tc>
        <w:tc>
          <w:tcPr>
            <w:tcW w:w="98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D90C86" w14:textId="77777777" w:rsidR="009524A6" w:rsidRDefault="00000000">
            <w:pPr>
              <w:jc w:val="right"/>
            </w:pPr>
            <w:r>
              <w:rPr>
                <w:sz w:val="18"/>
                <w:szCs w:val="18"/>
              </w:rPr>
              <w:t>0.25635</w:t>
            </w:r>
          </w:p>
        </w:tc>
        <w:tc>
          <w:tcPr>
            <w:tcW w:w="98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C26100" w14:textId="77777777" w:rsidR="009524A6" w:rsidRDefault="00000000">
            <w:pPr>
              <w:jc w:val="right"/>
            </w:pPr>
            <w:r>
              <w:rPr>
                <w:sz w:val="18"/>
                <w:szCs w:val="18"/>
              </w:rPr>
              <w:t>37.00</w:t>
            </w:r>
          </w:p>
        </w:tc>
        <w:tc>
          <w:tcPr>
            <w:tcW w:w="98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0FFB31" w14:textId="77777777" w:rsidR="009524A6" w:rsidRDefault="00000000">
            <w:pPr>
              <w:jc w:val="right"/>
            </w:pPr>
            <w:r>
              <w:rPr>
                <w:sz w:val="18"/>
                <w:szCs w:val="18"/>
              </w:rPr>
              <w:t>55.50</w:t>
            </w:r>
          </w:p>
        </w:tc>
        <w:tc>
          <w:tcPr>
            <w:tcW w:w="98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24577F" w14:textId="77777777" w:rsidR="009524A6" w:rsidRDefault="00000000">
            <w:pPr>
              <w:jc w:val="right"/>
            </w:pPr>
            <w:r>
              <w:rPr>
                <w:sz w:val="18"/>
                <w:szCs w:val="18"/>
              </w:rPr>
              <w:t>680</w:t>
            </w:r>
          </w:p>
        </w:tc>
      </w:tr>
      <w:tr w:rsidR="009524A6" w14:paraId="7B304A1F" w14:textId="77777777">
        <w:tblPrEx>
          <w:tblCellMar>
            <w:top w:w="0" w:type="dxa"/>
            <w:bottom w:w="0" w:type="dxa"/>
          </w:tblCellMar>
        </w:tblPrEx>
        <w:tc>
          <w:tcPr>
            <w:tcW w:w="98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8B0AFA" w14:textId="77777777" w:rsidR="009524A6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98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310610" w14:textId="77777777" w:rsidR="009524A6" w:rsidRDefault="00000000">
            <w:pPr>
              <w:jc w:val="right"/>
            </w:pPr>
            <w:r>
              <w:rPr>
                <w:sz w:val="18"/>
                <w:szCs w:val="18"/>
              </w:rPr>
              <w:t>0.900</w:t>
            </w:r>
          </w:p>
        </w:tc>
        <w:tc>
          <w:tcPr>
            <w:tcW w:w="98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C28D92" w14:textId="77777777" w:rsidR="009524A6" w:rsidRDefault="00000000">
            <w:pPr>
              <w:jc w:val="right"/>
            </w:pPr>
            <w:r>
              <w:rPr>
                <w:sz w:val="18"/>
                <w:szCs w:val="18"/>
              </w:rPr>
              <w:t>0.130</w:t>
            </w:r>
          </w:p>
        </w:tc>
        <w:tc>
          <w:tcPr>
            <w:tcW w:w="98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BDFA52" w14:textId="77777777" w:rsidR="009524A6" w:rsidRDefault="00000000">
            <w:pPr>
              <w:jc w:val="right"/>
            </w:pPr>
            <w:r>
              <w:rPr>
                <w:sz w:val="18"/>
                <w:szCs w:val="18"/>
              </w:rPr>
              <w:t>0.31447</w:t>
            </w:r>
          </w:p>
        </w:tc>
        <w:tc>
          <w:tcPr>
            <w:tcW w:w="98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39054A" w14:textId="77777777" w:rsidR="009524A6" w:rsidRDefault="00000000">
            <w:pPr>
              <w:jc w:val="right"/>
            </w:pPr>
            <w:r>
              <w:rPr>
                <w:sz w:val="18"/>
                <w:szCs w:val="18"/>
              </w:rPr>
              <w:t>48.95</w:t>
            </w:r>
          </w:p>
        </w:tc>
        <w:tc>
          <w:tcPr>
            <w:tcW w:w="98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8CB823" w14:textId="77777777" w:rsidR="009524A6" w:rsidRDefault="00000000">
            <w:pPr>
              <w:jc w:val="right"/>
            </w:pPr>
            <w:r>
              <w:rPr>
                <w:sz w:val="18"/>
                <w:szCs w:val="18"/>
              </w:rPr>
              <w:t>73.42</w:t>
            </w:r>
          </w:p>
        </w:tc>
        <w:tc>
          <w:tcPr>
            <w:tcW w:w="98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80B870" w14:textId="77777777" w:rsidR="009524A6" w:rsidRDefault="00000000">
            <w:pPr>
              <w:jc w:val="right"/>
            </w:pPr>
            <w:r>
              <w:rPr>
                <w:sz w:val="18"/>
                <w:szCs w:val="18"/>
              </w:rPr>
              <w:t>880</w:t>
            </w:r>
          </w:p>
        </w:tc>
      </w:tr>
      <w:tr w:rsidR="009524A6" w14:paraId="45DD69B4" w14:textId="77777777">
        <w:tblPrEx>
          <w:tblCellMar>
            <w:top w:w="0" w:type="dxa"/>
            <w:bottom w:w="0" w:type="dxa"/>
          </w:tblCellMar>
        </w:tblPrEx>
        <w:tc>
          <w:tcPr>
            <w:tcW w:w="98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987DC4" w14:textId="77777777" w:rsidR="009524A6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98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1D72B1" w14:textId="77777777" w:rsidR="009524A6" w:rsidRDefault="00000000">
            <w:pPr>
              <w:jc w:val="right"/>
            </w:pPr>
            <w:r>
              <w:rPr>
                <w:sz w:val="18"/>
                <w:szCs w:val="18"/>
              </w:rPr>
              <w:t>1.000</w:t>
            </w:r>
          </w:p>
        </w:tc>
        <w:tc>
          <w:tcPr>
            <w:tcW w:w="98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C5A367" w14:textId="77777777" w:rsidR="009524A6" w:rsidRDefault="00000000">
            <w:pPr>
              <w:jc w:val="right"/>
            </w:pPr>
            <w:r>
              <w:rPr>
                <w:sz w:val="18"/>
                <w:szCs w:val="18"/>
              </w:rPr>
              <w:t>0.130</w:t>
            </w:r>
          </w:p>
        </w:tc>
        <w:tc>
          <w:tcPr>
            <w:tcW w:w="98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1A7B9D" w14:textId="77777777" w:rsidR="009524A6" w:rsidRDefault="00000000">
            <w:pPr>
              <w:jc w:val="right"/>
            </w:pPr>
            <w:r>
              <w:rPr>
                <w:sz w:val="18"/>
                <w:szCs w:val="18"/>
              </w:rPr>
              <w:t>0.35531</w:t>
            </w:r>
          </w:p>
        </w:tc>
        <w:tc>
          <w:tcPr>
            <w:tcW w:w="98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04FDAB" w14:textId="77777777" w:rsidR="009524A6" w:rsidRDefault="00000000">
            <w:pPr>
              <w:jc w:val="right"/>
            </w:pPr>
            <w:r>
              <w:rPr>
                <w:sz w:val="18"/>
                <w:szCs w:val="18"/>
              </w:rPr>
              <w:t>62.22</w:t>
            </w:r>
          </w:p>
        </w:tc>
        <w:tc>
          <w:tcPr>
            <w:tcW w:w="98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84557A" w14:textId="77777777" w:rsidR="009524A6" w:rsidRDefault="00000000">
            <w:pPr>
              <w:jc w:val="right"/>
            </w:pPr>
            <w:r>
              <w:rPr>
                <w:sz w:val="18"/>
                <w:szCs w:val="18"/>
              </w:rPr>
              <w:t>93.32</w:t>
            </w:r>
          </w:p>
        </w:tc>
        <w:tc>
          <w:tcPr>
            <w:tcW w:w="98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CFE051" w14:textId="77777777" w:rsidR="009524A6" w:rsidRDefault="00000000">
            <w:pPr>
              <w:jc w:val="right"/>
            </w:pPr>
            <w:r>
              <w:rPr>
                <w:sz w:val="18"/>
                <w:szCs w:val="18"/>
              </w:rPr>
              <w:t>1,100</w:t>
            </w:r>
          </w:p>
        </w:tc>
      </w:tr>
    </w:tbl>
    <w:p w14:paraId="5A2CF5E8" w14:textId="77777777" w:rsidR="009524A6" w:rsidRDefault="00000000">
      <w:pPr>
        <w:ind w:firstLine="227"/>
        <w:jc w:val="both"/>
      </w:pPr>
      <w:r>
        <w:t>The two objectives are the pile material mass and the maximum lateral displacement:</w:t>
      </w:r>
    </w:p>
    <w:p w14:paraId="09E2A51E" w14:textId="77777777" w:rsidR="009524A6" w:rsidRDefault="00000000">
      <w:pPr>
        <w:tabs>
          <w:tab w:val="center" w:pos="3458"/>
          <w:tab w:val="right" w:pos="6916"/>
        </w:tabs>
        <w:spacing w:before="160" w:after="16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t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b>
            <m:r>
              <w:rPr>
                <w:rFonts w:ascii="Cambria Math" w:hAnsi="Cambria Math"/>
              </w:rPr>
              <m:t>BTCT</m:t>
            </m:r>
          </m:sub>
        </m:sSub>
        <m: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BTCT</m:t>
            </m:r>
          </m:sub>
        </m:sSub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concrete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t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b>
            <m:r>
              <w:rPr>
                <w:rFonts w:ascii="Cambria Math" w:hAnsi="Cambria Math"/>
              </w:rPr>
              <m:t>steel</m:t>
            </m:r>
          </m:sub>
        </m:sSub>
        <m: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steel</m:t>
            </m:r>
          </m:sub>
        </m:sSub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steel</m:t>
            </m:r>
          </m:sub>
        </m:sSub>
      </m:oMath>
      <w:r>
        <w:tab/>
        <w:t>(2)</w:t>
      </w:r>
    </w:p>
    <w:p w14:paraId="56E52F96" w14:textId="77777777" w:rsidR="009524A6" w:rsidRDefault="00000000">
      <w:pPr>
        <w:tabs>
          <w:tab w:val="center" w:pos="3458"/>
          <w:tab w:val="right" w:pos="6916"/>
        </w:tabs>
        <w:spacing w:before="160" w:after="16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=max</m:t>
        </m:r>
        <m:r>
          <w:rPr>
            <w:rFonts w:ascii="Cambria Math" w:hAnsi="Cambria Math"/>
          </w:rPr>
          <m:t>​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e>
            </m:rad>
          </m:e>
        </m:d>
      </m:oMath>
      <w:r>
        <w:tab/>
        <w:t>(3)</w:t>
      </w:r>
    </w:p>
    <w:p w14:paraId="315F7678" w14:textId="77777777" w:rsidR="009524A6" w:rsidRDefault="00000000">
      <w:pPr>
        <w:ind w:firstLine="227"/>
        <w:jc w:val="both"/>
      </w:pPr>
      <w:r>
        <w:t xml:space="preserve">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concrete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2.5</m:t>
        </m:r>
      </m:oMath>
      <w:r>
        <w:t xml:space="preserve"> t/m³,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steel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7.85</m:t>
        </m:r>
      </m:oMath>
      <w:r>
        <w:t xml:space="preserve"> t/m³, under the "BAO KT" envelope.</w:t>
      </w:r>
    </w:p>
    <w:p w14:paraId="36509F6E" w14:textId="77777777" w:rsidR="009524A6" w:rsidRDefault="00000000">
      <w:pPr>
        <w:keepNext/>
        <w:keepLines/>
        <w:spacing w:before="360" w:after="160"/>
      </w:pPr>
      <w:r>
        <w:rPr>
          <w:b/>
          <w:bCs/>
        </w:rPr>
        <w:lastRenderedPageBreak/>
        <w:t>2.2. Constraints and Reference Pareto Front</w:t>
      </w:r>
    </w:p>
    <w:p w14:paraId="4E00FD87" w14:textId="77777777" w:rsidR="009524A6" w:rsidRDefault="00000000">
      <w:pPr>
        <w:ind w:firstLine="227"/>
        <w:jc w:val="both"/>
      </w:pPr>
      <w:r>
        <w:t xml:space="preserve">Structural constraints comprise: the concrete-pile axial force–moment interaction, using catalogue values directly,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vl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0</m:t>
        </m:r>
      </m:oMath>
      <w:r>
        <w:t xml:space="preserve"> (4); steel-pile stress 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150</m:t>
        </m:r>
      </m:oMath>
      <w:r>
        <w:t xml:space="preserve"> kg/cm² [6],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1.05</m:t>
        </m:r>
      </m:oMath>
      <w:r>
        <w:t xml:space="preserve">); and lateral displacement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allow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0</m:t>
        </m:r>
      </m:oMath>
      <w: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allow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71.7</m:t>
        </m:r>
      </m:oMath>
      <w:r>
        <w:t xml:space="preserve"> mm, TCVN 11820-5:2021 [4]). The geotechnical constraint follows </w:t>
      </w:r>
      <w:r>
        <w:rPr>
          <w:b/>
          <w:bCs/>
        </w:rPr>
        <w:t>TCVN 10304:2025 [5]</w:t>
      </w:r>
      <w:r>
        <w:t xml:space="preserve">: a friction-pile formula for the concrete pile (clay tip) and an end-bearing-on-rock formula for the steel pile (fractured-rock tip, strength-reduction factor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0.32</m:t>
        </m:r>
      </m:oMath>
      <w:r>
        <w:t xml:space="preserve">, a conservative value adopted for lack of measured RQD), checked as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1.4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1.15</m:t>
        </m:r>
      </m:oMath>
      <w:r>
        <w:t>, consequence class C2). An uplift check (18/360 steel piles found in tension, up to ≈31 t) uses shaft friction only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0.8</m:t>
        </m:r>
      </m:oMath>
      <w:r>
        <w:t>). All violations are combined into one penalty applied to both objectives:</w:t>
      </w:r>
    </w:p>
    <w:p w14:paraId="170AF139" w14:textId="77777777" w:rsidR="009524A6" w:rsidRDefault="00000000">
      <w:pPr>
        <w:tabs>
          <w:tab w:val="center" w:pos="3458"/>
          <w:tab w:val="right" w:pos="6916"/>
        </w:tabs>
        <w:spacing w:before="160" w:after="16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 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C P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m:rPr>
                <m:sty m:val="bi"/>
              </m:rP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r>
              <w:rPr>
                <w:rFonts w:ascii="Cambria Math" w:hAnsi="Cambria Math"/>
              </w:rPr>
              <m:t> 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 k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 C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>
        <w:tab/>
        <w:t>(5)</w:t>
      </w:r>
    </w:p>
    <w:p w14:paraId="19D4CEA2" w14:textId="77777777" w:rsidR="009524A6" w:rsidRDefault="00000000">
      <w:pPr>
        <w:ind w:firstLine="227"/>
        <w:jc w:val="both"/>
      </w:pPr>
      <w:r>
        <w:t xml:space="preserve">held fixed for both algorithms. All 4,080 combinations were evaluated by the same FE model to build a </w:t>
      </w:r>
      <w:r>
        <w:rPr>
          <w:b/>
          <w:bCs/>
        </w:rPr>
        <w:t>reference Pareto front</w:t>
      </w:r>
      <w:r>
        <w:t xml:space="preserve">, independent of either algorithm's search: 3,337/4,080 combinations proved feasible, yielding </w:t>
      </w:r>
      <w:r>
        <w:rPr>
          <w:b/>
          <w:bCs/>
        </w:rPr>
        <w:t>59 non-dominated solutions</w:t>
      </w:r>
      <w:r>
        <w:t>.</w:t>
      </w:r>
    </w:p>
    <w:p w14:paraId="1407D5CD" w14:textId="77777777" w:rsidR="009524A6" w:rsidRDefault="00000000">
      <w:pPr>
        <w:keepNext/>
        <w:keepLines/>
        <w:spacing w:before="360" w:after="160"/>
      </w:pPr>
      <w:r>
        <w:rPr>
          <w:b/>
          <w:bCs/>
        </w:rPr>
        <w:t>2.3. Compared Algorithms and Fair Evaluation Budget</w:t>
      </w:r>
    </w:p>
    <w:p w14:paraId="0BA1CEC0" w14:textId="77777777" w:rsidR="009524A6" w:rsidRDefault="00000000">
      <w:pPr>
        <w:ind w:firstLine="227"/>
        <w:jc w:val="both"/>
      </w:pPr>
      <w:r>
        <w:rPr>
          <w:i/>
          <w:iCs/>
        </w:rPr>
        <w:t>MOFDA</w:t>
      </w:r>
      <w:r>
        <w:t xml:space="preserve"> [1] extends the Flow Direction Algorithm with an external Pareto archive (adaptive grid) and a </w:t>
      </w:r>
      <w:r>
        <w:rPr>
          <w:b/>
          <w:bCs/>
        </w:rPr>
        <w:t>hybrid leader-selection</w:t>
      </w:r>
      <w:r>
        <w:t xml:space="preserve"> rule scoring each archived solution as</w:t>
      </w:r>
    </w:p>
    <w:p w14:paraId="598554D8" w14:textId="77777777" w:rsidR="009524A6" w:rsidRDefault="00000000">
      <w:pPr>
        <w:tabs>
          <w:tab w:val="center" w:pos="3458"/>
          <w:tab w:val="right" w:pos="6916"/>
        </w:tabs>
        <w:spacing w:before="160" w:after="16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ε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D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</m:oMath>
    </w:p>
    <w:p w14:paraId="6B14CC0A" w14:textId="77777777" w:rsidR="009524A6" w:rsidRDefault="00000000">
      <w:pPr>
        <w:ind w:firstLine="227"/>
        <w:jc w:val="both"/>
      </w:pPr>
      <w:r>
        <w:t>(</w:t>
      </w:r>
      <m:oMath>
        <m:r>
          <w:rPr>
            <w:rFonts w:ascii="Cambria Math" w:hAnsi="Cambria Math"/>
          </w:rPr>
          <m:t>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grid index, </w:t>
      </w:r>
      <m:oMath>
        <m:r>
          <w:rPr>
            <w:rFonts w:ascii="Cambria Math" w:hAnsi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local density,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random perturbation), the leader being the lowest-scoring individual — favouring sparse regions while limiting premature convergence relative to plain roulette-wheel selection.</w:t>
      </w:r>
    </w:p>
    <w:p w14:paraId="17E49937" w14:textId="77777777" w:rsidR="009524A6" w:rsidRDefault="00000000">
      <w:pPr>
        <w:ind w:firstLine="227"/>
        <w:jc w:val="both"/>
      </w:pPr>
      <w:r>
        <w:rPr>
          <w:i/>
          <w:iCs/>
        </w:rPr>
        <w:t>MOSFOA</w:t>
      </w:r>
      <w:r>
        <w:t xml:space="preserve">, run here as </w:t>
      </w:r>
      <w:r>
        <w:rPr>
          <w:b/>
          <w:bCs/>
        </w:rPr>
        <w:t>E-MOSFOA</w:t>
      </w:r>
      <w:r>
        <w:t xml:space="preserve"> [2], extends the Starfish Optimization Algorithm [7] with a Pareto archive plus three refinements: cosine phase control, </w:t>
      </w:r>
      <m:oMath>
        <m:r>
          <w:rPr>
            <w:rFonts w:ascii="Cambria Math" w:hAnsi="Cambria Math"/>
          </w:rPr>
          <m:t>GP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+cos(</m:t>
            </m:r>
            <m:r>
              <w:rPr>
                <w:rFonts w:ascii="Cambria Math" w:hAnsi="Cambria Math"/>
              </w:rPr>
              <m:t>π it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Max</m:t>
            </m:r>
            <m:r>
              <m:rPr>
                <m:sty m:val="p"/>
              </m:rPr>
              <w:rPr>
                <w:rFonts w:ascii="Cambria Math" w:hAnsi="Cambria Math"/>
              </w:rPr>
              <m:t>_</m:t>
            </m:r>
            <m:r>
              <w:rPr>
                <w:rFonts w:ascii="Cambria Math" w:hAnsi="Cambria Math"/>
              </w:rPr>
              <m:t>it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d>
      </m:oMath>
      <w:r>
        <w:t xml:space="preserve">, replacing a fixed exploration probability; a leader-guided DE-mutation, </w:t>
      </w:r>
      <m:oMath>
        <m:r>
          <w:rPr>
            <w:rFonts w:ascii="Cambria Math" w:hAnsi="Cambria Math"/>
          </w:rPr>
          <m:t>mutan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r1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r2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r3</m:t>
            </m:r>
          </m:sub>
        </m:sSub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leader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r1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it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Max</m:t>
        </m:r>
        <m:r>
          <m:rPr>
            <m:sty m:val="p"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it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0.3</m:t>
        </m:r>
      </m:oMath>
      <w:r>
        <w:t>; and an archive-based Gaussian refinement active in the final 20% of iterations. Both algorithms have each been separately validated on an actual port/marine structure [1, 2].</w:t>
      </w:r>
    </w:p>
    <w:p w14:paraId="37D696F1" w14:textId="77777777" w:rsidR="009524A6" w:rsidRDefault="00000000">
      <w:pPr>
        <w:ind w:firstLine="227"/>
        <w:jc w:val="both"/>
      </w:pPr>
      <w:r>
        <w:t>MOFDA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50</m:t>
        </m:r>
      </m:oMath>
      <w:r>
        <w:t xml:space="preserve">, </w:t>
      </w:r>
      <m:oMath>
        <m:r>
          <w:rPr>
            <w:rFonts w:ascii="Cambria Math" w:hAnsi="Cambria Math"/>
          </w:rPr>
          <m:t>maxiter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50</m:t>
        </m:r>
      </m:oMath>
      <w:r>
        <w:t xml:space="preserve">, </w:t>
      </w: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 neighbours/individual) and E-MOSFOA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50</m:t>
        </m:r>
      </m:oMath>
      <w:r>
        <w:t xml:space="preserve">, </w:t>
      </w:r>
      <m:oMath>
        <m:r>
          <w:rPr>
            <w:rFonts w:ascii="Cambria Math" w:hAnsi="Cambria Math"/>
          </w:rPr>
          <m:t>Max</m:t>
        </m:r>
        <m:r>
          <m:rPr>
            <m:sty m:val="p"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it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250</m:t>
        </m:r>
      </m:oMath>
      <w:r>
        <w:t xml:space="preserve">) use different loop structures, so </w:t>
      </w:r>
      <w:r>
        <w:rPr>
          <w:b/>
          <w:bCs/>
        </w:rPr>
        <w:t>finite-element evaluations (FE)</w:t>
      </w:r>
      <w:r>
        <w:t xml:space="preserve"> rather than iterations are used as the common cost unit: </w:t>
      </w:r>
      <m:oMath>
        <m:r>
          <w:rPr>
            <w:rFonts w:ascii="Cambria Math" w:hAnsi="Cambria Math"/>
          </w:rPr>
          <m:t>FE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maxiter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)]=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Max</m:t>
        </m:r>
        <m:r>
          <m:rPr>
            <m:sty m:val="p"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it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= </w:t>
      </w:r>
      <w:r>
        <w:rPr>
          <w:b/>
          <w:bCs/>
        </w:rPr>
        <w:t>12,550/run</w:t>
      </w:r>
      <w:r>
        <w:t xml:space="preserve"> for both, with </w:t>
      </w:r>
      <m:oMath>
        <m:r>
          <w:rPr>
            <w:rFonts w:ascii="Cambria Math" w:hAnsi="Cambria Math"/>
          </w:rPr>
          <m:t>Max</m:t>
        </m:r>
        <m:r>
          <m:rPr>
            <m:sty m:val="p"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it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maxiter</m:t>
        </m:r>
      </m:oMath>
      <w:r>
        <w:t>. Both share the same archive capacity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</m:t>
        </m:r>
      </m:oMath>
      <w:r>
        <w:t>), grid resolution (</w:t>
      </w:r>
      <m:oMath>
        <m:r>
          <w:rPr>
            <w:rFonts w:ascii="Cambria Math" w:hAnsi="Cambria Math"/>
          </w:rPr>
          <m:t>nGrid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>
        <w:t xml:space="preserve">) and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</m:t>
        </m:r>
      </m:oMath>
      <w:r>
        <w:t xml:space="preserve"> independent runs.</w:t>
      </w:r>
    </w:p>
    <w:p w14:paraId="3E696BB9" w14:textId="77777777" w:rsidR="009524A6" w:rsidRDefault="00000000">
      <w:pPr>
        <w:ind w:firstLine="227"/>
        <w:jc w:val="both"/>
      </w:pPr>
      <w:r>
        <w:t>Each algorithm was run 30 times against the exhaustive reference front, compared via the two-sided Wilcoxon rank-sum test (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0.05</m:t>
        </m:r>
      </m:oMath>
      <w:r>
        <w:t xml:space="preserve">) on </w:t>
      </w:r>
      <w:r>
        <w:rPr>
          <w:b/>
          <w:bCs/>
        </w:rPr>
        <w:t>IGD</w:t>
      </w:r>
      <w:r>
        <w:t xml:space="preserve"> (normalised by the reference front's range), </w:t>
      </w:r>
      <w:r>
        <w:rPr>
          <w:b/>
          <w:bCs/>
        </w:rPr>
        <w:t>hypervolume (HV)</w:t>
      </w:r>
      <w:r>
        <w:t xml:space="preserve"> (fixed reference point for both algorithms) and </w:t>
      </w:r>
      <w:r>
        <w:rPr>
          <w:b/>
          <w:bCs/>
        </w:rPr>
        <w:t>Pareto coverage</w:t>
      </w:r>
      <w:r>
        <w:t>:</w:t>
      </w:r>
    </w:p>
    <w:p w14:paraId="6D567FAE" w14:textId="77777777" w:rsidR="009524A6" w:rsidRDefault="00000000">
      <w:pPr>
        <w:tabs>
          <w:tab w:val="center" w:pos="3458"/>
          <w:tab w:val="right" w:pos="6916"/>
        </w:tabs>
        <w:spacing w:before="160" w:after="160"/>
      </w:pPr>
      <w:r>
        <w:lastRenderedPageBreak/>
        <w:tab/>
      </w:r>
      <m:oMath>
        <m:r>
          <m:rPr>
            <m:nor/>
          </m:rPr>
          <m:t>Pareto coverage (%)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distinct reference solutions found</m:t>
            </m:r>
          </m:num>
          <m:den>
            <m:r>
              <w:rPr>
                <w:rFonts w:ascii="Cambria Math" w:hAnsi="Cambria Math"/>
              </w:rPr>
              <m:t>59</m:t>
            </m:r>
          </m:den>
        </m:f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</w:p>
    <w:p w14:paraId="2A6D307F" w14:textId="77777777" w:rsidR="009524A6" w:rsidRDefault="00000000">
      <w:pPr>
        <w:ind w:firstLine="227"/>
        <w:jc w:val="both"/>
      </w:pPr>
      <w:r>
        <w:t xml:space="preserve">using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6</m:t>
            </m:r>
          </m:sup>
        </m:sSup>
      </m:oMath>
      <w:r>
        <w:t xml:space="preserve"> fitness-matching tolerance fixed in advance.</w:t>
      </w:r>
    </w:p>
    <w:p w14:paraId="39EA3C66" w14:textId="77777777" w:rsidR="009524A6" w:rsidRDefault="00000000">
      <w:pPr>
        <w:keepNext/>
        <w:keepLines/>
        <w:spacing w:before="360" w:after="240" w:line="300" w:lineRule="atLeast"/>
      </w:pPr>
      <w:r>
        <w:rPr>
          <w:b/>
          <w:bCs/>
          <w:sz w:val="24"/>
          <w:szCs w:val="24"/>
        </w:rPr>
        <w:t>3. Experimental Results and Reviews</w:t>
      </w:r>
    </w:p>
    <w:p w14:paraId="6A1BDABC" w14:textId="77777777" w:rsidR="009524A6" w:rsidRDefault="00000000">
      <w:pPr>
        <w:keepNext/>
        <w:keepLines/>
        <w:spacing w:before="360" w:after="160"/>
      </w:pPr>
      <w:r>
        <w:rPr>
          <w:b/>
          <w:bCs/>
        </w:rPr>
        <w:t>3.1. Reference Pareto Front</w:t>
      </w:r>
    </w:p>
    <w:p w14:paraId="49A35BA7" w14:textId="77777777" w:rsidR="009524A6" w:rsidRDefault="00000000">
      <w:pPr>
        <w:ind w:firstLine="227"/>
        <w:jc w:val="both"/>
      </w:pPr>
      <w:r>
        <w:t xml:space="preserve">Material mass of the 59 reference solutions ranges </w:t>
      </w:r>
      <w:r>
        <w:rPr>
          <w:b/>
          <w:bCs/>
        </w:rPr>
        <w:t>3,317.3–5,189.4 t</w:t>
      </w:r>
      <w:r>
        <w:t xml:space="preserve">, displacement </w:t>
      </w:r>
      <w:r>
        <w:rPr>
          <w:b/>
          <w:bCs/>
        </w:rPr>
        <w:t>9.83–16.27 mm</w:t>
      </w:r>
      <w:r>
        <w:t xml:space="preserve">, both well inside the TCVN 11820-5:2021 limit. Boundary clustering (Table 2) shows the Pareto solutions concentrate strongly toward the upper end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steel</m:t>
            </m:r>
          </m:sub>
        </m:sSub>
      </m:oMath>
      <w:r>
        <w:t xml:space="preserve"> (about 70% within the top 5% of its range) and, more weakly, toward the largest CatIdx_BTCT row — indicating that the search range may not fully capture the trade-off region at still-larger diameters (Section 3.4).</w:t>
      </w:r>
    </w:p>
    <w:p w14:paraId="1AFFEB17" w14:textId="77777777" w:rsidR="009524A6" w:rsidRDefault="00000000">
      <w:pPr>
        <w:keepNext/>
        <w:keepLines/>
        <w:spacing w:before="240" w:after="120" w:line="220" w:lineRule="atLeast"/>
        <w:jc w:val="center"/>
      </w:pPr>
      <w:r>
        <w:rPr>
          <w:b/>
          <w:bCs/>
          <w:sz w:val="18"/>
          <w:szCs w:val="18"/>
        </w:rPr>
        <w:t>Table 2.</w:t>
      </w:r>
      <w:r>
        <w:rPr>
          <w:sz w:val="18"/>
          <w:szCs w:val="18"/>
        </w:rPr>
        <w:t xml:space="preserve"> Boundary clustering on the 59 reference solutions</w:t>
      </w:r>
    </w:p>
    <w:tbl>
      <w:tblPr>
        <w:tblW w:w="6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999999"/>
          <w:insideV w:val="single" w:sz="2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4"/>
        <w:gridCol w:w="1383"/>
        <w:gridCol w:w="1383"/>
        <w:gridCol w:w="1383"/>
        <w:gridCol w:w="1383"/>
      </w:tblGrid>
      <w:tr w:rsidR="009524A6" w14:paraId="6A2CC2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83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A8787" w14:textId="77777777" w:rsidR="009524A6" w:rsidRDefault="00000000">
            <w:r>
              <w:rPr>
                <w:b/>
                <w:bCs/>
                <w:sz w:val="18"/>
                <w:szCs w:val="18"/>
              </w:rPr>
              <w:t>Design variable</w:t>
            </w:r>
          </w:p>
        </w:tc>
        <w:tc>
          <w:tcPr>
            <w:tcW w:w="1383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5E2C65" w14:textId="77777777" w:rsidR="009524A6" w:rsidRDefault="00000000">
            <w:r>
              <w:rPr>
                <w:b/>
                <w:bCs/>
                <w:sz w:val="18"/>
                <w:szCs w:val="18"/>
              </w:rPr>
              <w:t>Domain</w:t>
            </w:r>
          </w:p>
        </w:tc>
        <w:tc>
          <w:tcPr>
            <w:tcW w:w="1383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D9FD2E" w14:textId="77777777" w:rsidR="009524A6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At upper bound</w:t>
            </w:r>
          </w:p>
        </w:tc>
        <w:tc>
          <w:tcPr>
            <w:tcW w:w="1383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D2830E" w14:textId="77777777" w:rsidR="009524A6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Within 5% of upper bound</w:t>
            </w:r>
          </w:p>
        </w:tc>
        <w:tc>
          <w:tcPr>
            <w:tcW w:w="1383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FABCE0" w14:textId="77777777" w:rsidR="009524A6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At/near lower bound</w:t>
            </w:r>
          </w:p>
        </w:tc>
      </w:tr>
      <w:tr w:rsidR="009524A6" w14:paraId="2BABF79F" w14:textId="77777777">
        <w:tblPrEx>
          <w:tblCellMar>
            <w:top w:w="0" w:type="dxa"/>
            <w:bottom w:w="0" w:type="dxa"/>
          </w:tblCellMar>
        </w:tblPrEx>
        <w:tc>
          <w:tcPr>
            <w:tcW w:w="138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3DF68D" w14:textId="77777777" w:rsidR="009524A6" w:rsidRDefault="00000000">
            <w:r>
              <w:rPr>
                <w:sz w:val="18"/>
                <w:szCs w:val="18"/>
              </w:rPr>
              <w:t>CatIdx_BTCT</w:t>
            </w:r>
          </w:p>
        </w:tc>
        <w:tc>
          <w:tcPr>
            <w:tcW w:w="138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2868DF" w14:textId="77777777" w:rsidR="009524A6" w:rsidRDefault="00000000">
            <w:r>
              <w:rPr>
                <w:sz w:val="18"/>
                <w:szCs w:val="18"/>
              </w:rPr>
              <w:t>[1, 5]</w:t>
            </w:r>
          </w:p>
        </w:tc>
        <w:tc>
          <w:tcPr>
            <w:tcW w:w="138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4C1132" w14:textId="77777777" w:rsidR="009524A6" w:rsidRDefault="00000000">
            <w:pPr>
              <w:jc w:val="right"/>
            </w:pPr>
            <w:r>
              <w:rPr>
                <w:sz w:val="18"/>
                <w:szCs w:val="18"/>
              </w:rPr>
              <w:t>18/59 (30.5%)</w:t>
            </w:r>
          </w:p>
        </w:tc>
        <w:tc>
          <w:tcPr>
            <w:tcW w:w="138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3C915F" w14:textId="77777777" w:rsidR="009524A6" w:rsidRDefault="00000000">
            <w:pPr>
              <w:jc w:val="right"/>
            </w:pPr>
            <w:r>
              <w:rPr>
                <w:sz w:val="18"/>
                <w:szCs w:val="18"/>
              </w:rPr>
              <w:t>18/59 (30.5%)</w:t>
            </w:r>
          </w:p>
        </w:tc>
        <w:tc>
          <w:tcPr>
            <w:tcW w:w="138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A193B3" w14:textId="77777777" w:rsidR="009524A6" w:rsidRDefault="00000000">
            <w:pPr>
              <w:jc w:val="right"/>
            </w:pPr>
            <w:r>
              <w:rPr>
                <w:sz w:val="18"/>
                <w:szCs w:val="18"/>
              </w:rPr>
              <w:t>0</w:t>
            </w:r>
          </w:p>
        </w:tc>
      </w:tr>
      <w:tr w:rsidR="009524A6" w14:paraId="26D2C8BD" w14:textId="77777777">
        <w:tblPrEx>
          <w:tblCellMar>
            <w:top w:w="0" w:type="dxa"/>
            <w:bottom w:w="0" w:type="dxa"/>
          </w:tblCellMar>
        </w:tblPrEx>
        <w:tc>
          <w:tcPr>
            <w:tcW w:w="138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474E13" w14:textId="77777777" w:rsidR="009524A6" w:rsidRDefault="00000000">
            <w:r>
              <w:rPr>
                <w:sz w:val="18"/>
                <w:szCs w:val="18"/>
              </w:rPr>
              <w:t>D_steel (m)</w:t>
            </w:r>
          </w:p>
        </w:tc>
        <w:tc>
          <w:tcPr>
            <w:tcW w:w="138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8B1B65" w14:textId="77777777" w:rsidR="009524A6" w:rsidRDefault="00000000">
            <w:r>
              <w:rPr>
                <w:sz w:val="18"/>
                <w:szCs w:val="18"/>
              </w:rPr>
              <w:t>[0.800, 1.300]</w:t>
            </w:r>
          </w:p>
        </w:tc>
        <w:tc>
          <w:tcPr>
            <w:tcW w:w="138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A6F27F" w14:textId="77777777" w:rsidR="009524A6" w:rsidRDefault="00000000">
            <w:pPr>
              <w:jc w:val="right"/>
            </w:pPr>
            <w:r>
              <w:rPr>
                <w:sz w:val="18"/>
                <w:szCs w:val="18"/>
              </w:rPr>
              <w:t>17/59 (28.8%)</w:t>
            </w:r>
          </w:p>
        </w:tc>
        <w:tc>
          <w:tcPr>
            <w:tcW w:w="138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B1AEE6" w14:textId="77777777" w:rsidR="009524A6" w:rsidRDefault="00000000">
            <w:pPr>
              <w:jc w:val="right"/>
            </w:pPr>
            <w:r>
              <w:rPr>
                <w:sz w:val="18"/>
                <w:szCs w:val="18"/>
              </w:rPr>
              <w:t>41/59 (69.5%)</w:t>
            </w:r>
          </w:p>
        </w:tc>
        <w:tc>
          <w:tcPr>
            <w:tcW w:w="138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8FB9AB" w14:textId="77777777" w:rsidR="009524A6" w:rsidRDefault="00000000">
            <w:pPr>
              <w:jc w:val="right"/>
            </w:pPr>
            <w:r>
              <w:rPr>
                <w:sz w:val="18"/>
                <w:szCs w:val="18"/>
              </w:rPr>
              <w:t>0</w:t>
            </w:r>
          </w:p>
        </w:tc>
      </w:tr>
      <w:tr w:rsidR="009524A6" w14:paraId="798A839A" w14:textId="77777777">
        <w:tblPrEx>
          <w:tblCellMar>
            <w:top w:w="0" w:type="dxa"/>
            <w:bottom w:w="0" w:type="dxa"/>
          </w:tblCellMar>
        </w:tblPrEx>
        <w:tc>
          <w:tcPr>
            <w:tcW w:w="138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6BB88C" w14:textId="77777777" w:rsidR="009524A6" w:rsidRDefault="00000000">
            <w:r>
              <w:rPr>
                <w:sz w:val="18"/>
                <w:szCs w:val="18"/>
              </w:rPr>
              <w:t>t_steel (m)</w:t>
            </w:r>
          </w:p>
        </w:tc>
        <w:tc>
          <w:tcPr>
            <w:tcW w:w="138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93D469" w14:textId="77777777" w:rsidR="009524A6" w:rsidRDefault="00000000">
            <w:r>
              <w:rPr>
                <w:sz w:val="18"/>
                <w:szCs w:val="18"/>
              </w:rPr>
              <w:t>[0.010, 0.025]</w:t>
            </w:r>
          </w:p>
        </w:tc>
        <w:tc>
          <w:tcPr>
            <w:tcW w:w="138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489C3B" w14:textId="77777777" w:rsidR="009524A6" w:rsidRDefault="00000000">
            <w:pPr>
              <w:jc w:val="right"/>
            </w:pPr>
            <w:r>
              <w:rPr>
                <w:sz w:val="18"/>
                <w:szCs w:val="18"/>
              </w:rPr>
              <w:t>2/59 (3.4%)</w:t>
            </w:r>
          </w:p>
        </w:tc>
        <w:tc>
          <w:tcPr>
            <w:tcW w:w="138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9E6656" w14:textId="77777777" w:rsidR="009524A6" w:rsidRDefault="00000000">
            <w:pPr>
              <w:jc w:val="right"/>
            </w:pPr>
            <w:r>
              <w:rPr>
                <w:sz w:val="18"/>
                <w:szCs w:val="18"/>
              </w:rPr>
              <w:t>2/59 (3.4%)</w:t>
            </w:r>
          </w:p>
        </w:tc>
        <w:tc>
          <w:tcPr>
            <w:tcW w:w="138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C8E875" w14:textId="77777777" w:rsidR="009524A6" w:rsidRDefault="00000000">
            <w:pPr>
              <w:jc w:val="right"/>
            </w:pPr>
            <w:r>
              <w:rPr>
                <w:sz w:val="18"/>
                <w:szCs w:val="18"/>
              </w:rPr>
              <w:t>0</w:t>
            </w:r>
          </w:p>
        </w:tc>
      </w:tr>
    </w:tbl>
    <w:p w14:paraId="51E7A680" w14:textId="77777777" w:rsidR="009524A6" w:rsidRDefault="00000000">
      <w:pPr>
        <w:keepNext/>
        <w:spacing w:before="240" w:after="120"/>
        <w:jc w:val="center"/>
      </w:pPr>
      <w:r>
        <w:rPr>
          <w:noProof/>
        </w:rPr>
        <w:lastRenderedPageBreak/>
        <w:drawing>
          <wp:inline distT="0" distB="0" distL="0" distR="0" wp14:anchorId="13EFBD78" wp14:editId="6F446C26">
            <wp:extent cx="4191000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B6A92" w14:textId="77777777" w:rsidR="009524A6" w:rsidRDefault="00000000">
      <w:pPr>
        <w:spacing w:before="120" w:after="240" w:line="220" w:lineRule="atLeast"/>
        <w:jc w:val="center"/>
      </w:pPr>
      <w:r>
        <w:rPr>
          <w:b/>
          <w:bCs/>
          <w:sz w:val="18"/>
          <w:szCs w:val="18"/>
        </w:rPr>
        <w:t>Fig. 2.</w:t>
      </w:r>
      <w:r>
        <w:rPr>
          <w:sz w:val="18"/>
          <w:szCs w:val="18"/>
        </w:rPr>
        <w:t xml:space="preserve"> Reference Pareto front (59 solutions) over the feasible combinations explored.</w:t>
      </w:r>
    </w:p>
    <w:p w14:paraId="6864365B" w14:textId="77777777" w:rsidR="009524A6" w:rsidRDefault="00000000">
      <w:pPr>
        <w:keepNext/>
        <w:keepLines/>
        <w:spacing w:before="360" w:after="160"/>
      </w:pPr>
      <w:r>
        <w:rPr>
          <w:b/>
          <w:bCs/>
        </w:rPr>
        <w:t>3.2. Per-Algorithm Results and Direct Comparison</w:t>
      </w:r>
    </w:p>
    <w:p w14:paraId="678640A9" w14:textId="77777777" w:rsidR="009524A6" w:rsidRDefault="00000000">
      <w:pPr>
        <w:ind w:firstLine="227"/>
        <w:jc w:val="both"/>
      </w:pPr>
      <w:r>
        <w:t>Over 30 independent runs each (Table 3), both algorithms fill the 100-solution archive every run, but E-MOSFOA covers the 59-solution reference front more fully and more consistently (98.76% ± 0.88% versus 89.27% ± 4.46% for MOFDA) and attains a lower IGD (0.000100 versus 0.000506).</w:t>
      </w:r>
    </w:p>
    <w:p w14:paraId="246B7A0C" w14:textId="77777777" w:rsidR="009524A6" w:rsidRDefault="00000000">
      <w:pPr>
        <w:keepNext/>
        <w:keepLines/>
        <w:spacing w:before="240" w:after="120" w:line="220" w:lineRule="atLeast"/>
        <w:jc w:val="center"/>
      </w:pPr>
      <w:r>
        <w:rPr>
          <w:b/>
          <w:bCs/>
          <w:sz w:val="18"/>
          <w:szCs w:val="18"/>
        </w:rPr>
        <w:t>Table 3.</w:t>
      </w:r>
      <w:r>
        <w:rPr>
          <w:sz w:val="18"/>
          <w:szCs w:val="18"/>
        </w:rPr>
        <w:t xml:space="preserve"> Statistics over 30 runs; Wilcoxon rank-sum test versus MOFDA</w:t>
      </w:r>
    </w:p>
    <w:tbl>
      <w:tblPr>
        <w:tblW w:w="6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999999"/>
          <w:insideV w:val="single" w:sz="2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9"/>
        <w:gridCol w:w="1729"/>
        <w:gridCol w:w="1729"/>
        <w:gridCol w:w="1729"/>
      </w:tblGrid>
      <w:tr w:rsidR="009524A6" w14:paraId="501ED6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29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35F25B" w14:textId="77777777" w:rsidR="009524A6" w:rsidRDefault="00000000">
            <w:r>
              <w:rPr>
                <w:b/>
                <w:bCs/>
                <w:sz w:val="18"/>
                <w:szCs w:val="18"/>
              </w:rPr>
              <w:t>Metric</w:t>
            </w:r>
          </w:p>
        </w:tc>
        <w:tc>
          <w:tcPr>
            <w:tcW w:w="1729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9F584A" w14:textId="77777777" w:rsidR="009524A6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MOFDA (mean ± SD)</w:t>
            </w:r>
          </w:p>
        </w:tc>
        <w:tc>
          <w:tcPr>
            <w:tcW w:w="1729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0AD073" w14:textId="77777777" w:rsidR="009524A6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E-MOSFOA (mean ± SD)</w:t>
            </w:r>
          </w:p>
        </w:tc>
        <w:tc>
          <w:tcPr>
            <w:tcW w:w="1729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EB7CC7" w14:textId="77777777" w:rsidR="009524A6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p-value</w:t>
            </w:r>
          </w:p>
        </w:tc>
      </w:tr>
      <w:tr w:rsidR="009524A6" w14:paraId="344F8092" w14:textId="77777777">
        <w:tblPrEx>
          <w:tblCellMar>
            <w:top w:w="0" w:type="dxa"/>
            <w:bottom w:w="0" w:type="dxa"/>
          </w:tblCellMar>
        </w:tblPrEx>
        <w:tc>
          <w:tcPr>
            <w:tcW w:w="17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19CD84" w14:textId="77777777" w:rsidR="009524A6" w:rsidRDefault="00000000">
            <w:r>
              <w:rPr>
                <w:sz w:val="18"/>
                <w:szCs w:val="18"/>
              </w:rPr>
              <w:t>GD (normalised)</w:t>
            </w:r>
          </w:p>
        </w:tc>
        <w:tc>
          <w:tcPr>
            <w:tcW w:w="17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EE292D" w14:textId="77777777" w:rsidR="009524A6" w:rsidRDefault="00000000">
            <w:pPr>
              <w:jc w:val="right"/>
            </w:pPr>
            <w:r>
              <w:rPr>
                <w:sz w:val="18"/>
                <w:szCs w:val="18"/>
              </w:rPr>
              <w:t>0.000031 ± 0.000081</w:t>
            </w:r>
          </w:p>
        </w:tc>
        <w:tc>
          <w:tcPr>
            <w:tcW w:w="17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AE9695" w14:textId="77777777" w:rsidR="009524A6" w:rsidRDefault="00000000">
            <w:pPr>
              <w:jc w:val="right"/>
            </w:pPr>
            <w:r>
              <w:rPr>
                <w:sz w:val="18"/>
                <w:szCs w:val="18"/>
              </w:rPr>
              <w:t>0.000000 ± 0.000000</w:t>
            </w:r>
          </w:p>
        </w:tc>
        <w:tc>
          <w:tcPr>
            <w:tcW w:w="17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D3E045" w14:textId="77777777" w:rsidR="009524A6" w:rsidRDefault="00000000">
            <w:pPr>
              <w:jc w:val="right"/>
            </w:pPr>
            <w:r>
              <w:rPr>
                <w:sz w:val="18"/>
                <w:szCs w:val="18"/>
              </w:rPr>
              <w:t>0.0419</w:t>
            </w:r>
          </w:p>
        </w:tc>
      </w:tr>
      <w:tr w:rsidR="009524A6" w14:paraId="780A822E" w14:textId="77777777">
        <w:tblPrEx>
          <w:tblCellMar>
            <w:top w:w="0" w:type="dxa"/>
            <w:bottom w:w="0" w:type="dxa"/>
          </w:tblCellMar>
        </w:tblPrEx>
        <w:tc>
          <w:tcPr>
            <w:tcW w:w="17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044225" w14:textId="77777777" w:rsidR="009524A6" w:rsidRDefault="00000000">
            <w:r>
              <w:rPr>
                <w:sz w:val="18"/>
                <w:szCs w:val="18"/>
              </w:rPr>
              <w:t>IGD (normalised)</w:t>
            </w:r>
          </w:p>
        </w:tc>
        <w:tc>
          <w:tcPr>
            <w:tcW w:w="17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6A6EDD" w14:textId="77777777" w:rsidR="009524A6" w:rsidRDefault="00000000">
            <w:pPr>
              <w:jc w:val="right"/>
            </w:pPr>
            <w:r>
              <w:rPr>
                <w:sz w:val="18"/>
                <w:szCs w:val="18"/>
              </w:rPr>
              <w:t>0.000506 ± 0.000182</w:t>
            </w:r>
          </w:p>
        </w:tc>
        <w:tc>
          <w:tcPr>
            <w:tcW w:w="17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2C03EF" w14:textId="77777777" w:rsidR="009524A6" w:rsidRDefault="00000000">
            <w:pPr>
              <w:jc w:val="right"/>
            </w:pPr>
            <w:r>
              <w:rPr>
                <w:sz w:val="18"/>
                <w:szCs w:val="18"/>
              </w:rPr>
              <w:t>0.000100 ± 0.000074</w:t>
            </w:r>
          </w:p>
        </w:tc>
        <w:tc>
          <w:tcPr>
            <w:tcW w:w="17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9F8DAB" w14:textId="77777777" w:rsidR="009524A6" w:rsidRDefault="00000000">
            <w:pPr>
              <w:jc w:val="right"/>
            </w:pPr>
            <w:r>
              <w:rPr>
                <w:sz w:val="18"/>
                <w:szCs w:val="18"/>
              </w:rPr>
              <w:t>1.07×10⁻¹⁰</w:t>
            </w:r>
          </w:p>
        </w:tc>
      </w:tr>
      <w:tr w:rsidR="009524A6" w14:paraId="5B2476DB" w14:textId="77777777">
        <w:tblPrEx>
          <w:tblCellMar>
            <w:top w:w="0" w:type="dxa"/>
            <w:bottom w:w="0" w:type="dxa"/>
          </w:tblCellMar>
        </w:tblPrEx>
        <w:tc>
          <w:tcPr>
            <w:tcW w:w="17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310D3B" w14:textId="77777777" w:rsidR="009524A6" w:rsidRDefault="00000000">
            <w:r>
              <w:rPr>
                <w:sz w:val="18"/>
                <w:szCs w:val="18"/>
              </w:rPr>
              <w:t>HV (fixed reference point)</w:t>
            </w:r>
          </w:p>
        </w:tc>
        <w:tc>
          <w:tcPr>
            <w:tcW w:w="17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D56746" w14:textId="77777777" w:rsidR="009524A6" w:rsidRDefault="00000000">
            <w:pPr>
              <w:jc w:val="right"/>
            </w:pPr>
            <w:r>
              <w:rPr>
                <w:sz w:val="18"/>
                <w:szCs w:val="18"/>
              </w:rPr>
              <w:t>41,654.0150 ± 0.0064</w:t>
            </w:r>
          </w:p>
        </w:tc>
        <w:tc>
          <w:tcPr>
            <w:tcW w:w="17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E7D647" w14:textId="77777777" w:rsidR="009524A6" w:rsidRDefault="00000000">
            <w:pPr>
              <w:jc w:val="right"/>
            </w:pPr>
            <w:r>
              <w:rPr>
                <w:sz w:val="18"/>
                <w:szCs w:val="18"/>
              </w:rPr>
              <w:t>41,654.0214 ± 0.0002</w:t>
            </w:r>
          </w:p>
        </w:tc>
        <w:tc>
          <w:tcPr>
            <w:tcW w:w="17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142035" w14:textId="77777777" w:rsidR="009524A6" w:rsidRDefault="00000000">
            <w:pPr>
              <w:jc w:val="right"/>
            </w:pPr>
            <w:r>
              <w:rPr>
                <w:sz w:val="18"/>
                <w:szCs w:val="18"/>
              </w:rPr>
              <w:t>6.53×10⁻¹¹</w:t>
            </w:r>
          </w:p>
        </w:tc>
      </w:tr>
      <w:tr w:rsidR="009524A6" w14:paraId="45BFC289" w14:textId="77777777">
        <w:tblPrEx>
          <w:tblCellMar>
            <w:top w:w="0" w:type="dxa"/>
            <w:bottom w:w="0" w:type="dxa"/>
          </w:tblCellMar>
        </w:tblPrEx>
        <w:tc>
          <w:tcPr>
            <w:tcW w:w="17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F09517" w14:textId="77777777" w:rsidR="009524A6" w:rsidRDefault="00000000">
            <w:r>
              <w:rPr>
                <w:sz w:val="18"/>
                <w:szCs w:val="18"/>
              </w:rPr>
              <w:t>Pareto coverage (/59)</w:t>
            </w:r>
          </w:p>
        </w:tc>
        <w:tc>
          <w:tcPr>
            <w:tcW w:w="17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944B8D" w14:textId="77777777" w:rsidR="009524A6" w:rsidRDefault="00000000">
            <w:pPr>
              <w:jc w:val="right"/>
            </w:pPr>
            <w:r>
              <w:rPr>
                <w:sz w:val="18"/>
                <w:szCs w:val="18"/>
              </w:rPr>
              <w:t>52.67 ± 2.63 (89.27%)</w:t>
            </w:r>
          </w:p>
        </w:tc>
        <w:tc>
          <w:tcPr>
            <w:tcW w:w="17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2342E6" w14:textId="77777777" w:rsidR="009524A6" w:rsidRDefault="00000000">
            <w:pPr>
              <w:jc w:val="right"/>
            </w:pPr>
            <w:r>
              <w:rPr>
                <w:sz w:val="18"/>
                <w:szCs w:val="18"/>
              </w:rPr>
              <w:t>58.27 ± 0.52 (98.76%)</w:t>
            </w:r>
          </w:p>
        </w:tc>
        <w:tc>
          <w:tcPr>
            <w:tcW w:w="17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CA7A39" w14:textId="77777777" w:rsidR="009524A6" w:rsidRDefault="00000000">
            <w:pPr>
              <w:jc w:val="right"/>
            </w:pPr>
            <w:r>
              <w:rPr>
                <w:sz w:val="18"/>
                <w:szCs w:val="18"/>
              </w:rPr>
              <w:t>3.14×10⁻¹¹</w:t>
            </w:r>
          </w:p>
        </w:tc>
      </w:tr>
    </w:tbl>
    <w:p w14:paraId="6896D5E9" w14:textId="77777777" w:rsidR="009524A6" w:rsidRDefault="00000000">
      <w:pPr>
        <w:ind w:firstLine="227"/>
        <w:jc w:val="both"/>
      </w:pPr>
      <w:r>
        <w:t xml:space="preserve">All four differences are statistically significant at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0.05</m:t>
        </m:r>
      </m:oMath>
      <w:r>
        <w:t xml:space="preserve">; the HV and GD gaps are numerically small since both algorithms approach the same stable region, so the comparison rests mainly on </w:t>
      </w:r>
      <w:r>
        <w:rPr>
          <w:b/>
          <w:bCs/>
        </w:rPr>
        <w:t>IGD</w:t>
      </w:r>
      <w:r>
        <w:t xml:space="preserve"> and </w:t>
      </w:r>
      <w:r>
        <w:rPr>
          <w:b/>
          <w:bCs/>
        </w:rPr>
        <w:t>convergence speed against FE</w:t>
      </w:r>
      <w:r>
        <w:t xml:space="preserve"> rather than on the final HV gap. Convergence curves (Fig. 3) show E-MOSFOA reaching the stable HV region after only ≈1,000–1,500 FE, against ≈5,000–7,000 FE for MOFDA, with its </w:t>
      </w:r>
      <w:r>
        <w:lastRenderedPageBreak/>
        <w:t xml:space="preserve">mean IGD curve lying below MOFDA's throughout the search. This is consistent with E-MOSFOA's cosine phase-control schedule, which drives exploration-to-exploitation transition explicitly from early in the search, unlike MOFDA's decaying weight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iter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Max</m:t>
        </m:r>
        <m:r>
          <m:rPr>
            <m:sty m:val="p"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iter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</w:rPr>
              <m:t>randn</m:t>
            </m:r>
          </m:sup>
        </m:sSup>
      </m:oMath>
      <w:r>
        <w:t>, which depends heavily on a random term each iteration; the leader-guided mutation and late-stage Gaussian refinement may further help E-MOSFOA track the front once a good region is found. This is offered as a mechanism-level reading of the data, not a separate sensitivity analysis isolating each mechanism.</w:t>
      </w:r>
    </w:p>
    <w:p w14:paraId="7D994B2B" w14:textId="77777777" w:rsidR="009524A6" w:rsidRDefault="00000000">
      <w:pPr>
        <w:keepNext/>
        <w:spacing w:before="240" w:after="120"/>
        <w:jc w:val="center"/>
      </w:pPr>
      <w:r>
        <w:rPr>
          <w:noProof/>
        </w:rPr>
        <w:drawing>
          <wp:inline distT="0" distB="0" distL="0" distR="0" wp14:anchorId="2EF5D98E" wp14:editId="28A7D7DB">
            <wp:extent cx="3810000" cy="3810000"/>
            <wp:effectExtent l="0" t="0" r="0" b="0"/>
            <wp:docPr id="1141744752" name="Picture 1141744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5B6AA" w14:textId="77777777" w:rsidR="009524A6" w:rsidRDefault="00000000">
      <w:pPr>
        <w:spacing w:before="120" w:after="240" w:line="220" w:lineRule="atLeast"/>
        <w:jc w:val="center"/>
      </w:pPr>
      <w:r>
        <w:rPr>
          <w:b/>
          <w:bCs/>
          <w:sz w:val="18"/>
          <w:szCs w:val="18"/>
        </w:rPr>
        <w:t>Fig. 3.</w:t>
      </w:r>
      <w:r>
        <w:rPr>
          <w:sz w:val="18"/>
          <w:szCs w:val="18"/>
        </w:rPr>
        <w:t xml:space="preserve"> Convergence curves of IGD and HV against the number of FEM evaluations.</w:t>
      </w:r>
    </w:p>
    <w:p w14:paraId="139D9651" w14:textId="77777777" w:rsidR="009524A6" w:rsidRDefault="00000000">
      <w:pPr>
        <w:keepNext/>
        <w:keepLines/>
        <w:spacing w:before="360" w:after="160"/>
      </w:pPr>
      <w:r>
        <w:rPr>
          <w:b/>
          <w:bCs/>
        </w:rPr>
        <w:t>3.3. Scope Limitations</w:t>
      </w:r>
    </w:p>
    <w:p w14:paraId="1F9C4CF6" w14:textId="77777777" w:rsidR="009524A6" w:rsidRDefault="00000000">
      <w:pPr>
        <w:ind w:firstLine="227"/>
        <w:jc w:val="both"/>
      </w:pPr>
      <w:r>
        <w:t xml:space="preserve">The concentration of Pareto solutions near the upper bound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steel</m:t>
            </m:r>
          </m:sub>
        </m:sSub>
      </m:oMath>
      <w:r>
        <w:t xml:space="preserve"> means the search range may not fully capture the trade-off region at larger diameters, though the algorithm comparison itself remains valid since both are judged against the same reference front.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0.32</m:t>
        </m:r>
      </m:oMath>
      <w:r>
        <w:t xml:space="preserve"> for the fractured-rock layer is a conservative assumption pending measured RQD data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1.15</m:t>
        </m:r>
      </m:oMath>
      <w:r>
        <w:t xml:space="preserve"> is, by contrast, confirmed). Pile-group interaction, the storm load combination, and p–y soil–pile interaction are outside the present scope, which is limited to linear-static analysis.</w:t>
      </w:r>
    </w:p>
    <w:p w14:paraId="4A41414C" w14:textId="77777777" w:rsidR="009524A6" w:rsidRDefault="00000000">
      <w:pPr>
        <w:keepNext/>
        <w:keepLines/>
        <w:spacing w:before="360" w:after="240" w:line="300" w:lineRule="atLeast"/>
      </w:pPr>
      <w:r>
        <w:rPr>
          <w:b/>
          <w:bCs/>
          <w:sz w:val="24"/>
          <w:szCs w:val="24"/>
        </w:rPr>
        <w:lastRenderedPageBreak/>
        <w:t>4. Conclusion and recommendations</w:t>
      </w:r>
    </w:p>
    <w:p w14:paraId="4472E8D6" w14:textId="77777777" w:rsidR="009524A6" w:rsidRDefault="00000000">
      <w:pPr>
        <w:ind w:left="340" w:hanging="340"/>
        <w:jc w:val="both"/>
      </w:pPr>
      <w:r>
        <w:rPr>
          <w:b/>
          <w:bCs/>
        </w:rPr>
        <w:t xml:space="preserve">1. Problem formulation and reference Pareto front. </w:t>
      </w:r>
      <w:r>
        <w:t xml:space="preserve">A discrete multi-objective optimization problem was formulated for the pile-system cross-sections of a 100,000-DWT container wharf (4,080 combinations; structural, TCVN 10304:2025 geotechnical, and uplift constraints), and an exhaustive reference Pareto front (59 solutions) was built as an external, algorithm-independent benchmark; this front shows boundary clustering toward larger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steel</m:t>
            </m:r>
          </m:sub>
        </m:sSub>
      </m:oMath>
      <w:r>
        <w:t xml:space="preserve">, a scope limitation for generalising absolute values. </w:t>
      </w:r>
    </w:p>
    <w:p w14:paraId="075B269F" w14:textId="77777777" w:rsidR="009524A6" w:rsidRDefault="00000000">
      <w:pPr>
        <w:ind w:left="340" w:hanging="340"/>
        <w:jc w:val="both"/>
      </w:pPr>
      <w:r>
        <w:rPr>
          <w:b/>
          <w:bCs/>
        </w:rPr>
        <w:t xml:space="preserve">2. Quantitative comparison between MOFDA and E-MOSFOA. </w:t>
      </w:r>
      <w:r>
        <w:t xml:space="preserve">Comparing MOFDA and E-MOSFOA on the identical problem, model, objectives, constraints and FE budget (30 runs each), E-MOSFOA attains a markedly lower IGD (0.000100 versus 0.000506, p = 1.07×10⁻¹⁰), converges roughly five times faster in FE terms, and covers the reference front more fully and steadily (98.76% ± 0.88% versus 89.27% ± 4.46%). </w:t>
      </w:r>
    </w:p>
    <w:p w14:paraId="4EE5632C" w14:textId="77777777" w:rsidR="009524A6" w:rsidRDefault="00000000">
      <w:pPr>
        <w:ind w:left="340" w:hanging="340"/>
        <w:jc w:val="both"/>
      </w:pPr>
      <w:r>
        <w:rPr>
          <w:b/>
          <w:bCs/>
        </w:rPr>
        <w:t xml:space="preserve">3. Convergence speed and scope of the comparison. </w:t>
      </w:r>
      <w:r>
        <w:t xml:space="preserve">Within the scope examined, E-MOSFOA is therefore the more favourable choice on convergence speed — without implying a universal advantage on other structural problems — and these results give a quantitative reference for algorithm selection in similarly constrained port pile-design problems. </w:t>
      </w:r>
    </w:p>
    <w:p w14:paraId="511A7EC7" w14:textId="77777777" w:rsidR="009524A6" w:rsidRDefault="00000000">
      <w:pPr>
        <w:ind w:left="340" w:hanging="340"/>
        <w:jc w:val="both"/>
      </w:pPr>
      <w:r>
        <w:rPr>
          <w:b/>
          <w:bCs/>
        </w:rPr>
        <w:t xml:space="preserve">4. Engineering limitations and recommendation for further verification. </w:t>
      </w:r>
      <w:r>
        <w:t xml:space="preserve">Before the optimized mass/displacement values are used in a formal design, the limitations of Section 3.3 (search range at large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steel</m:t>
            </m:r>
          </m:sub>
        </m:sSub>
      </m:oMath>
      <w:r>
        <w:t xml:space="preserve">, the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 xml:space="preserve"> assumption, no pile-group effect) should be reconfirmed against fuller field and design data.</w:t>
      </w:r>
    </w:p>
    <w:p w14:paraId="007E7270" w14:textId="77777777" w:rsidR="009524A6" w:rsidRDefault="00000000">
      <w:pPr>
        <w:keepNext/>
        <w:keepLines/>
        <w:spacing w:before="360" w:after="240" w:line="300" w:lineRule="atLeast"/>
      </w:pPr>
      <w:r>
        <w:rPr>
          <w:b/>
          <w:bCs/>
          <w:sz w:val="24"/>
          <w:szCs w:val="24"/>
        </w:rPr>
        <w:t>Acknowledgments</w:t>
      </w:r>
    </w:p>
    <w:p w14:paraId="0DF8D382" w14:textId="77777777" w:rsidR="009524A6" w:rsidRDefault="00000000">
      <w:pPr>
        <w:ind w:firstLine="227"/>
        <w:jc w:val="both"/>
      </w:pPr>
      <w:r>
        <w:t>This research was financially supported by Vietnam Maritime University.</w:t>
      </w:r>
    </w:p>
    <w:p w14:paraId="1DD6EB23" w14:textId="77777777" w:rsidR="009524A6" w:rsidRDefault="00000000">
      <w:pPr>
        <w:keepNext/>
        <w:keepLines/>
        <w:spacing w:before="360" w:after="240" w:line="300" w:lineRule="atLeast"/>
      </w:pPr>
      <w:r>
        <w:rPr>
          <w:b/>
          <w:bCs/>
          <w:sz w:val="24"/>
          <w:szCs w:val="24"/>
        </w:rPr>
        <w:t>Disclosure of Interests</w:t>
      </w:r>
    </w:p>
    <w:p w14:paraId="59075293" w14:textId="77777777" w:rsidR="009524A6" w:rsidRDefault="00000000">
      <w:pPr>
        <w:ind w:firstLine="227"/>
        <w:jc w:val="both"/>
      </w:pPr>
      <w:r>
        <w:t>The authors have no competing interests to declare that are relevant to the content of this article.</w:t>
      </w:r>
    </w:p>
    <w:p w14:paraId="08F7C415" w14:textId="77777777" w:rsidR="009524A6" w:rsidRDefault="00000000">
      <w:pPr>
        <w:keepNext/>
        <w:keepLines/>
        <w:spacing w:before="360" w:after="240" w:line="300" w:lineRule="atLeast"/>
      </w:pPr>
      <w:r>
        <w:rPr>
          <w:b/>
          <w:bCs/>
          <w:sz w:val="24"/>
          <w:szCs w:val="24"/>
        </w:rPr>
        <w:t>References</w:t>
      </w:r>
    </w:p>
    <w:p w14:paraId="242A205D" w14:textId="77777777" w:rsidR="009524A6" w:rsidRDefault="00000000">
      <w:pPr>
        <w:spacing w:line="220" w:lineRule="atLeast"/>
        <w:ind w:left="567" w:hanging="567"/>
        <w:jc w:val="both"/>
      </w:pPr>
      <w:r>
        <w:rPr>
          <w:sz w:val="18"/>
          <w:szCs w:val="18"/>
        </w:rPr>
        <w:t>[1] Vu-Huu, T., Khatir, S., Cuong-Le, T.: Real-World Steel Frame Optimization Using a Hybrid Leader Selection-Based Multi-Objective Flow Direction Algorithm. International Journal for Numerical Methods in Engineering 126(15), e70098 (2025). https://doi.org/10.1002/nme.70098</w:t>
      </w:r>
    </w:p>
    <w:p w14:paraId="7F28553D" w14:textId="77777777" w:rsidR="009524A6" w:rsidRDefault="00000000">
      <w:pPr>
        <w:spacing w:line="220" w:lineRule="atLeast"/>
        <w:ind w:left="567" w:hanging="567"/>
        <w:jc w:val="both"/>
      </w:pPr>
      <w:r>
        <w:rPr>
          <w:sz w:val="18"/>
          <w:szCs w:val="18"/>
        </w:rPr>
        <w:t>[2] Do-Quang, T., Vu-Huu, T., Le, C.T.: Multi-objective Optimization of Marine Structures Using an Enhanced Starfish Algorithm. Proceedings of the Institution of Civil Engineers – Structures and Buildings (2026). https://doi.org/10.1680/jstbu.26.00159</w:t>
      </w:r>
    </w:p>
    <w:p w14:paraId="495B13F9" w14:textId="77777777" w:rsidR="009524A6" w:rsidRDefault="00000000">
      <w:pPr>
        <w:spacing w:line="220" w:lineRule="atLeast"/>
        <w:ind w:left="567" w:hanging="567"/>
        <w:jc w:val="both"/>
      </w:pPr>
      <w:r>
        <w:rPr>
          <w:sz w:val="18"/>
          <w:szCs w:val="18"/>
        </w:rPr>
        <w:lastRenderedPageBreak/>
        <w:t>[3] AMACCAO PILE: Catalogue and technical specifications of AMACCAO spun concrete piles D300–D1200, following TCVN 7888:2014 and JIS A 5373:2016 (2014).</w:t>
      </w:r>
    </w:p>
    <w:p w14:paraId="461A1963" w14:textId="77777777" w:rsidR="009524A6" w:rsidRDefault="00000000">
      <w:pPr>
        <w:spacing w:line="220" w:lineRule="atLeast"/>
        <w:ind w:left="567" w:hanging="567"/>
        <w:jc w:val="both"/>
      </w:pPr>
      <w:r>
        <w:rPr>
          <w:sz w:val="18"/>
          <w:szCs w:val="18"/>
        </w:rPr>
        <w:t>[4] Ministry of Science and Technology: TCVN 11820-5:2021 — Port and Harbour Engineering — Design Requirements — Part 5: Quay Structures (2021).</w:t>
      </w:r>
    </w:p>
    <w:p w14:paraId="724CD450" w14:textId="77777777" w:rsidR="009524A6" w:rsidRDefault="00000000">
      <w:pPr>
        <w:spacing w:line="220" w:lineRule="atLeast"/>
        <w:ind w:left="567" w:hanging="567"/>
        <w:jc w:val="both"/>
      </w:pPr>
      <w:r>
        <w:rPr>
          <w:sz w:val="18"/>
          <w:szCs w:val="18"/>
        </w:rPr>
        <w:t>[5] Vietnam Standards and Quality Institute: TCVN 10304:2025 (2nd edition) — Pile Foundation Design (2025).</w:t>
      </w:r>
    </w:p>
    <w:p w14:paraId="0879E9BE" w14:textId="77777777" w:rsidR="009524A6" w:rsidRDefault="00000000">
      <w:pPr>
        <w:spacing w:line="220" w:lineRule="atLeast"/>
        <w:ind w:left="567" w:hanging="567"/>
        <w:jc w:val="both"/>
      </w:pPr>
      <w:r>
        <w:rPr>
          <w:sz w:val="18"/>
          <w:szCs w:val="18"/>
        </w:rPr>
        <w:t>[6] Ministry of Science and Technology: TCVN 9245:2012 — Steel Pipe Piles (2012).</w:t>
      </w:r>
    </w:p>
    <w:p w14:paraId="4808C80F" w14:textId="77777777" w:rsidR="009524A6" w:rsidRDefault="00000000">
      <w:pPr>
        <w:spacing w:line="220" w:lineRule="atLeast"/>
        <w:ind w:left="567" w:hanging="567"/>
        <w:jc w:val="both"/>
      </w:pPr>
      <w:r>
        <w:rPr>
          <w:sz w:val="18"/>
          <w:szCs w:val="18"/>
        </w:rPr>
        <w:t>[7] Zhong, C., et al.: Starfish optimization algorithm (SFOA): a bio-inspired metaheuristic algorithm for global optimization compared with 100 optimizers. Neural Computing and Applications, 3641–3683 (2025).</w:t>
      </w:r>
    </w:p>
    <w:sectPr w:rsidR="009524A6">
      <w:headerReference w:type="even" r:id="rId10"/>
      <w:headerReference w:type="default" r:id="rId11"/>
      <w:pgSz w:w="11906" w:h="16838"/>
      <w:pgMar w:top="2948" w:right="2495" w:bottom="2948" w:left="2495" w:header="2381" w:footer="2325" w:gutter="0"/>
      <w:cols w:space="720"/>
      <w:titlePg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86072" w14:textId="77777777" w:rsidR="000B7121" w:rsidRDefault="000B7121">
      <w:r>
        <w:separator/>
      </w:r>
    </w:p>
  </w:endnote>
  <w:endnote w:type="continuationSeparator" w:id="0">
    <w:p w14:paraId="27275EED" w14:textId="77777777" w:rsidR="000B7121" w:rsidRDefault="000B71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BAB4D" w14:textId="77777777" w:rsidR="000B7121" w:rsidRDefault="000B7121">
      <w:r>
        <w:separator/>
      </w:r>
    </w:p>
  </w:footnote>
  <w:footnote w:type="continuationSeparator" w:id="0">
    <w:p w14:paraId="78D428BF" w14:textId="77777777" w:rsidR="000B7121" w:rsidRDefault="000B71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2FA0A" w14:textId="77777777" w:rsidR="009524A6" w:rsidRDefault="00000000"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  \* MERGEFORMAT 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808BF" w14:textId="77777777" w:rsidR="009524A6" w:rsidRDefault="00000000">
    <w:pPr>
      <w:jc w:val="right"/>
    </w:pP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  \* MERGEFORMAT 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3</w:t>
    </w:r>
    <w:r>
      <w:rPr>
        <w:sz w:val="18"/>
        <w:szCs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02633D"/>
    <w:multiLevelType w:val="hybridMultilevel"/>
    <w:tmpl w:val="F3BAEE2A"/>
    <w:lvl w:ilvl="0" w:tplc="70561A54">
      <w:start w:val="1"/>
      <w:numFmt w:val="bullet"/>
      <w:lvlText w:val="●"/>
      <w:lvlJc w:val="left"/>
      <w:pPr>
        <w:ind w:left="720" w:hanging="360"/>
      </w:pPr>
    </w:lvl>
    <w:lvl w:ilvl="1" w:tplc="5218BFBA">
      <w:start w:val="1"/>
      <w:numFmt w:val="bullet"/>
      <w:lvlText w:val="○"/>
      <w:lvlJc w:val="left"/>
      <w:pPr>
        <w:ind w:left="1440" w:hanging="360"/>
      </w:pPr>
    </w:lvl>
    <w:lvl w:ilvl="2" w:tplc="E8629892">
      <w:start w:val="1"/>
      <w:numFmt w:val="bullet"/>
      <w:lvlText w:val="■"/>
      <w:lvlJc w:val="left"/>
      <w:pPr>
        <w:ind w:left="2160" w:hanging="360"/>
      </w:pPr>
    </w:lvl>
    <w:lvl w:ilvl="3" w:tplc="C818EA10">
      <w:start w:val="1"/>
      <w:numFmt w:val="bullet"/>
      <w:lvlText w:val="●"/>
      <w:lvlJc w:val="left"/>
      <w:pPr>
        <w:ind w:left="2880" w:hanging="360"/>
      </w:pPr>
    </w:lvl>
    <w:lvl w:ilvl="4" w:tplc="F6F810DC">
      <w:start w:val="1"/>
      <w:numFmt w:val="bullet"/>
      <w:lvlText w:val="○"/>
      <w:lvlJc w:val="left"/>
      <w:pPr>
        <w:ind w:left="3600" w:hanging="360"/>
      </w:pPr>
    </w:lvl>
    <w:lvl w:ilvl="5" w:tplc="41C2124C">
      <w:start w:val="1"/>
      <w:numFmt w:val="bullet"/>
      <w:lvlText w:val="■"/>
      <w:lvlJc w:val="left"/>
      <w:pPr>
        <w:ind w:left="4320" w:hanging="360"/>
      </w:pPr>
    </w:lvl>
    <w:lvl w:ilvl="6" w:tplc="6EB20EC2">
      <w:start w:val="1"/>
      <w:numFmt w:val="bullet"/>
      <w:lvlText w:val="●"/>
      <w:lvlJc w:val="left"/>
      <w:pPr>
        <w:ind w:left="5040" w:hanging="360"/>
      </w:pPr>
    </w:lvl>
    <w:lvl w:ilvl="7" w:tplc="9B940080">
      <w:start w:val="1"/>
      <w:numFmt w:val="bullet"/>
      <w:lvlText w:val="●"/>
      <w:lvlJc w:val="left"/>
      <w:pPr>
        <w:ind w:left="5760" w:hanging="360"/>
      </w:pPr>
    </w:lvl>
    <w:lvl w:ilvl="8" w:tplc="8E68C80E">
      <w:start w:val="1"/>
      <w:numFmt w:val="bullet"/>
      <w:lvlText w:val="●"/>
      <w:lvlJc w:val="left"/>
      <w:pPr>
        <w:ind w:left="6480" w:hanging="360"/>
      </w:pPr>
    </w:lvl>
  </w:abstractNum>
  <w:num w:numId="1" w16cid:durableId="16754569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4A6"/>
    <w:rsid w:val="000B7121"/>
    <w:rsid w:val="00120626"/>
    <w:rsid w:val="00950074"/>
    <w:rsid w:val="00952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35F06"/>
  <w15:docId w15:val="{390A3124-3F1E-4C0B-981A-42B2003AE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9500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2371</Words>
  <Characters>13519</Characters>
  <Application>Microsoft Office Word</Application>
  <DocSecurity>0</DocSecurity>
  <Lines>112</Lines>
  <Paragraphs>31</Paragraphs>
  <ScaleCrop>false</ScaleCrop>
  <Company/>
  <LinksUpToDate>false</LinksUpToDate>
  <CharactersWithSpaces>15859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Đỗ Quang Thành</cp:lastModifiedBy>
  <cp:revision>3</cp:revision>
  <dcterms:created xsi:type="dcterms:W3CDTF">2026-09-12T03:00:00Z</dcterms:created>
  <dcterms:modified xsi:type="dcterms:W3CDTF">2026-09-23T04:13:00Z</dcterms:modified>
</cp:coreProperties>
</file>