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đề-cương-chi-tiết-chuyên-đề-tiến-sĩ-số-3"/>
    <w:p>
      <w:pPr>
        <w:pStyle w:val="Heading1"/>
      </w:pPr>
      <w:r>
        <w:t xml:space="preserve">ĐỀ CƯƠNG CHI TIẾT — CHUYÊN ĐỀ TIẾN SĨ SỐ 3</w:t>
      </w:r>
    </w:p>
    <w:bookmarkStart w:id="9" w:name="X438b1f26d4e45267a7d359a0539aaca53ebaf4e"/>
    <w:p>
      <w:pPr>
        <w:pStyle w:val="Heading2"/>
      </w:pPr>
      <w:r>
        <w:t xml:space="preserve">Tài liệu độc lập để triển khai viết chi tiết (phiên làm việc riêng)</w:t>
      </w:r>
    </w:p>
    <w:p>
      <w:pPr>
        <w:pStyle w:val="BlockText"/>
      </w:pPr>
      <w:r>
        <w:rPr>
          <w:b/>
          <w:bCs/>
        </w:rPr>
        <w:t xml:space="preserve">Cách dùng file này</w:t>
      </w:r>
      <w:r>
        <w:t xml:space="preserve">: brief tự thân, đã nhúng sẵn toàn bộ số liệu kỹ</w:t>
      </w:r>
      <w:r>
        <w:t xml:space="preserve"> </w:t>
      </w:r>
      <w:r>
        <w:t xml:space="preserve">thuật, bảng thiết kế, kết quả tối ưu trích từ bài báo Q3 (MOSFOA) —</w:t>
      </w:r>
      <w:r>
        <w:t xml:space="preserve"> </w:t>
      </w:r>
      <w:r>
        <w:t xml:space="preserve">không cần mở lại file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gốc để viết chương này. Cần tra cứu sâu</w:t>
      </w:r>
      <w:r>
        <w:t xml:space="preserve"> </w:t>
      </w:r>
      <w:r>
        <w:t xml:space="preserve">hơn → xem mục 9 cuối file.</w:t>
      </w:r>
    </w:p>
    <w:p>
      <w:r>
        <w:pict>
          <v:rect style="width:0;height:1.5pt" o:hralign="center" o:hrstd="t" o:hr="t"/>
        </w:pict>
      </w:r>
    </w:p>
    <w:bookmarkEnd w:id="9"/>
    <w:bookmarkStart w:id="10" w:name="bối-cảnh-đề-tài"/>
    <w:p>
      <w:pPr>
        <w:pStyle w:val="Heading2"/>
      </w:pPr>
      <w:r>
        <w:t xml:space="preserve">0. Bối cảnh đề tài</w:t>
      </w:r>
    </w:p>
    <w:p>
      <w:pPr>
        <w:pStyle w:val="FirstParagraph"/>
      </w:pPr>
      <w:r>
        <w:rPr>
          <w:b/>
          <w:bCs/>
        </w:rPr>
        <w:t xml:space="preserve">Đề tài luận án:</w:t>
      </w:r>
      <w:r>
        <w:t xml:space="preserve"> </w:t>
      </w:r>
      <w:r>
        <w:t xml:space="preserve">&gt; NGHIÊN CỨU PHÁT TRIỂN THUẬT TOÁN TỐI ƯU METAHEURISTIC CHO KẾT CẤU HẠ TẦNG CẢNG BIỂN</w:t>
      </w:r>
    </w:p>
    <w:p>
      <w:pPr>
        <w:pStyle w:val="BodyText"/>
      </w:pPr>
      <w:r>
        <w:rPr>
          <w:b/>
          <w:bCs/>
        </w:rPr>
        <w:t xml:space="preserve">Tên Chuyên đề 3 (đã chốt):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ỨNG DỤNG VÀ KIỂM CHỨNG THUẬT TOÁN MOSFOA CHO TỐI ƯU ĐA MỤC TIÊU KẾT CẤU HẠ TẦNG CẢNG BIỂN</w:t>
      </w:r>
    </w:p>
    <w:p>
      <w:pPr>
        <w:pStyle w:val="BodyText"/>
      </w:pPr>
      <w:r>
        <w:rPr>
          <w:b/>
          <w:bCs/>
        </w:rPr>
        <w:t xml:space="preserve">Vai trò trong tổng thể</w:t>
      </w:r>
      <w:r>
        <w:t xml:space="preserve">: CĐ3 chứng minh</w:t>
      </w:r>
      <w:r>
        <w:t xml:space="preserve"> </w:t>
      </w:r>
      <w:r>
        <w:rPr>
          <w:b/>
          <w:bCs/>
        </w:rPr>
        <w:t xml:space="preserve">“DOES IT WORK IN</w:t>
      </w:r>
      <w:r>
        <w:rPr>
          <w:b/>
          <w:bCs/>
        </w:rPr>
        <w:t xml:space="preserve"> </w:t>
      </w:r>
      <w:r>
        <w:rPr>
          <w:b/>
          <w:bCs/>
        </w:rPr>
        <w:t xml:space="preserve">ENGINEERING”</w:t>
      </w:r>
      <w:r>
        <w:t xml:space="preserve"> </w:t>
      </w:r>
      <w:r>
        <w:t xml:space="preserve">— đóng góp ứng dụng, tách từ bài báo Q3 (phần case study</w:t>
      </w:r>
      <w:r>
        <w:t xml:space="preserve"> </w:t>
      </w:r>
      <w:r>
        <w:t xml:space="preserve">kỹ thuật), tích hợp MATLAB–SAP2000, áp dụng MOSFOA (đã phát triển ở CĐ2)</w:t>
      </w:r>
      <w:r>
        <w:t xml:space="preserve"> </w:t>
      </w:r>
      <w:r>
        <w:t xml:space="preserve">cho ba hệ kết cấu thực tế</w:t>
      </w:r>
      <w:r>
        <w:t xml:space="preserve"> </w:t>
      </w:r>
      <w:r>
        <w:rPr>
          <w:b/>
          <w:bCs/>
        </w:rPr>
        <w:t xml:space="preserve">BD/MD/MJP</w:t>
      </w:r>
      <w:r>
        <w:t xml:space="preserve"> </w:t>
      </w:r>
      <w:r>
        <w:t xml:space="preserve">của dự án Hải Linh.</w:t>
      </w:r>
    </w:p>
    <w:p>
      <w:pPr>
        <w:pStyle w:val="BodyText"/>
      </w:pPr>
      <w:r>
        <w:rPr>
          <w:b/>
          <w:bCs/>
        </w:rPr>
        <w:t xml:space="preserve">Đóng góp khoa học tương ứng (Tầng 3/4)</w:t>
      </w:r>
      <w:r>
        <w:t xml:space="preserve">:</w:t>
      </w:r>
      <w:r>
        <w:t xml:space="preserve"> </w:t>
      </w:r>
      <w:r>
        <w:rPr>
          <w:i/>
          <w:iCs/>
        </w:rPr>
        <w:t xml:space="preserve">“Xây dựng quy trình tích</w:t>
      </w:r>
      <w:r>
        <w:rPr>
          <w:i/>
          <w:iCs/>
        </w:rPr>
        <w:t xml:space="preserve"> </w:t>
      </w:r>
      <w:r>
        <w:rPr>
          <w:i/>
          <w:iCs/>
        </w:rPr>
        <w:t xml:space="preserve">hợp MATLAB–SAP2000 vận hành được trên bài toán kỹ thuật thực (dữ liệu</w:t>
      </w:r>
      <w:r>
        <w:rPr>
          <w:i/>
          <w:iCs/>
        </w:rPr>
        <w:t xml:space="preserve"> </w:t>
      </w:r>
      <w:r>
        <w:rPr>
          <w:i/>
          <w:iCs/>
        </w:rPr>
        <w:t xml:space="preserve">dự án Hải Linh), tạo ra các tập Pareto cost–displacement khả thi 100%</w:t>
      </w:r>
      <w:r>
        <w:rPr>
          <w:i/>
          <w:iCs/>
        </w:rPr>
        <w:t xml:space="preserve"> </w:t>
      </w:r>
      <w:r>
        <w:rPr>
          <w:i/>
          <w:iCs/>
        </w:rPr>
        <w:t xml:space="preserve">theo tiêu chuẩn (TCVN 7888:2014, TCVN 10304:2014) cho ba hệ kết cấu</w:t>
      </w:r>
      <w:r>
        <w:rPr>
          <w:i/>
          <w:iCs/>
        </w:rPr>
        <w:t xml:space="preserve"> </w:t>
      </w:r>
      <w:r>
        <w:rPr>
          <w:i/>
          <w:iCs/>
        </w:rPr>
        <w:t xml:space="preserve">BD/MD/MJP, có so sánh định lượng với thiết kế hiện trạng.”</w:t>
      </w:r>
    </w:p>
    <w:p>
      <w:pPr>
        <w:pStyle w:val="BodyText"/>
      </w:pPr>
      <w:r>
        <w:rPr>
          <w:b/>
          <w:bCs/>
        </w:rPr>
        <w:t xml:space="preserve">Nguồn</w:t>
      </w:r>
      <w:r>
        <w:t xml:space="preserve">: toàn bộ nội dung khoa học dựa trên bài báo lõi (công bố #2,</w:t>
      </w:r>
      <w:r>
        <w:t xml:space="preserve"> </w:t>
      </w:r>
      <w:r>
        <w:t xml:space="preserve">gọi tắt</w:t>
      </w:r>
      <w:r>
        <w:t xml:space="preserve"> </w:t>
      </w:r>
      <w:r>
        <w:t xml:space="preserve">“bài báo Q3”</w:t>
      </w:r>
      <w:r>
        <w:t xml:space="preserve"> </w:t>
      </w:r>
      <w:r>
        <w:t xml:space="preserve">trong file này), mục 4 (Case Study: Liquid Bulk</w:t>
      </w:r>
      <w:r>
        <w:t xml:space="preserve"> </w:t>
      </w:r>
      <w:r>
        <w:t xml:space="preserve">Jetty) — nay đã được chấp nhận đăng chính thức:</w:t>
      </w:r>
    </w:p>
    <w:p>
      <w:pPr>
        <w:pStyle w:val="BlockText"/>
      </w:pPr>
      <w:r>
        <w:t xml:space="preserve">Do-Quang, T., Vu-Huu, T. and Le, C.T. (2026),</w:t>
      </w:r>
      <w:r>
        <w:t xml:space="preserve"> </w:t>
      </w:r>
      <w:r>
        <w:t xml:space="preserve">“Multi-objective</w:t>
      </w:r>
      <w:r>
        <w:t xml:space="preserve"> </w:t>
      </w:r>
      <w:r>
        <w:t xml:space="preserve">Optimization of Marine Structures Using an Enhanced Starfish</w:t>
      </w:r>
      <w:r>
        <w:t xml:space="preserve"> </w:t>
      </w:r>
      <w:r>
        <w:t xml:space="preserve">Algorithm”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Institution of Civil Engineers —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Structures and Buildings</w:t>
      </w:r>
      <w:r>
        <w:t xml:space="preserve">. https://doi.org/10.1680/jstbu.26.00159</w:t>
      </w:r>
      <w:r>
        <w:t xml:space="preserve"> </w:t>
      </w:r>
      <w:r>
        <w:t xml:space="preserve">(Article ID STBU-2026-159-R2; Accepted 19/08/2026)</w:t>
      </w:r>
    </w:p>
    <w:p>
      <w:pPr>
        <w:pStyle w:val="FirstParagraph"/>
      </w:pPr>
      <w:r>
        <w:t xml:space="preserve">Dữ liệu đã trích sẵn ở mục 5–7 dưới.</w:t>
      </w:r>
      <w:r>
        <w:t xml:space="preserve"> </w:t>
      </w:r>
      <w:r>
        <w:rPr>
          <w:b/>
          <w:bCs/>
        </w:rPr>
        <w:t xml:space="preserve">Lưu ý</w:t>
      </w:r>
      <w:r>
        <w:t xml:space="preserve">: tên bài báo chính thức</w:t>
      </w:r>
      <w:r>
        <w:t xml:space="preserve"> </w:t>
      </w:r>
      <w:r>
        <w:t xml:space="preserve">khác bản nháp</w:t>
      </w:r>
      <w:r>
        <w:t xml:space="preserve"> </w:t>
      </w:r>
      <w:r>
        <w:rPr>
          <w:rStyle w:val="VerbatimChar"/>
        </w:rPr>
        <w:t xml:space="preserve">02_MOSFOA__VN.docx</w:t>
      </w:r>
      <w:r>
        <w:t xml:space="preserve"> </w:t>
      </w:r>
      <w:r>
        <w:t xml:space="preserve">(bản nháp:</w:t>
      </w:r>
      <w:r>
        <w:t xml:space="preserve"> </w:t>
      </w:r>
      <w:r>
        <w:rPr>
          <w:i/>
          <w:iCs/>
        </w:rPr>
        <w:t xml:space="preserve">“…Optimization Design</w:t>
      </w:r>
      <w:r>
        <w:rPr>
          <w:i/>
          <w:iCs/>
        </w:rPr>
        <w:t xml:space="preserve"> </w:t>
      </w:r>
      <w:r>
        <w:rPr>
          <w:i/>
          <w:iCs/>
        </w:rPr>
        <w:t xml:space="preserve">of Marine Structures Based on An Enhanced Starfish Algorithm”</w:t>
      </w:r>
      <w:r>
        <w:t xml:space="preserve">) — cần</w:t>
      </w:r>
      <w:r>
        <w:t xml:space="preserve"> </w:t>
      </w:r>
      <w:r>
        <w:t xml:space="preserve">đối chiếu lại số liệu/bảng ở mục 5–7 với bản in chính thức trước khi</w:t>
      </w:r>
      <w:r>
        <w:t xml:space="preserve"> </w:t>
      </w:r>
      <w:r>
        <w:t xml:space="preserve">khóa bản thảo CĐ3.</w:t>
      </w:r>
    </w:p>
    <w:p>
      <w:r>
        <w:pict>
          <v:rect style="width:0;height:1.5pt" o:hralign="center" o:hrstd="t" o:hr="t"/>
        </w:pict>
      </w:r>
    </w:p>
    <w:bookmarkEnd w:id="10"/>
    <w:bookmarkStart w:id="11" w:name="quy-cách-trình-bày-bắt-buộc"/>
    <w:p>
      <w:pPr>
        <w:pStyle w:val="Heading2"/>
      </w:pPr>
      <w:r>
        <w:t xml:space="preserve">1. Quy cách trình bày bắt buộc</w:t>
      </w:r>
    </w:p>
    <w:p>
      <w:pPr>
        <w:pStyle w:val="FirstParagraph"/>
      </w:pPr>
      <w:r>
        <w:t xml:space="preserve">A4, Times New Roman 14, giãn dòng 1,5,</w:t>
      </w:r>
      <w:r>
        <w:t xml:space="preserve"> </w:t>
      </w:r>
      <w:r>
        <w:rPr>
          <w:b/>
          <w:bCs/>
        </w:rPr>
        <w:t xml:space="preserve">không quá 80 trang</w:t>
      </w:r>
      <w:r>
        <w:t xml:space="preserve"> </w:t>
      </w:r>
      <w:r>
        <w:t xml:space="preserve">không kể</w:t>
      </w:r>
      <w:r>
        <w:t xml:space="preserve"> </w:t>
      </w:r>
      <w:r>
        <w:t xml:space="preserve">phụ lục,</w:t>
      </w:r>
      <w:r>
        <w:t xml:space="preserve"> </w:t>
      </w:r>
      <w:r>
        <w:rPr>
          <w:b/>
          <w:bCs/>
        </w:rPr>
        <w:t xml:space="preserve">đúng 3 chương</w:t>
      </w:r>
      <w:r>
        <w:t xml:space="preserve">, kết cấu Mở đầu → Chương 1/2/3 → Kết luận</w:t>
      </w:r>
      <w:r>
        <w:t xml:space="preserve"> </w:t>
      </w:r>
      <w:r>
        <w:t xml:space="preserve">(bàn luận) và kiến nghị → Tài liệu tham khảo → Phụ lục.</w:t>
      </w:r>
    </w:p>
    <w:p>
      <w:r>
        <w:pict>
          <v:rect style="width:0;height:1.5pt" o:hralign="center" o:hrstd="t" o:hr="t"/>
        </w:pict>
      </w:r>
    </w:p>
    <w:bookmarkEnd w:id="11"/>
    <w:bookmarkStart w:id="12" w:name="quy-tắc-giá-trị-gia-tăng-áp-dụng-cho-cđ3"/>
    <w:p>
      <w:pPr>
        <w:pStyle w:val="Heading2"/>
      </w:pPr>
      <w:r>
        <w:t xml:space="preserve">2. Quy tắc</w:t>
      </w:r>
      <w:r>
        <w:t xml:space="preserve"> </w:t>
      </w:r>
      <w:r>
        <w:t xml:space="preserve">“giá trị gia tăng”</w:t>
      </w:r>
      <w:r>
        <w:t xml:space="preserve"> </w:t>
      </w:r>
      <w:r>
        <w:t xml:space="preserve">áp dụng cho CĐ3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phân tích</w:t>
      </w:r>
      <w:r>
        <w:t xml:space="preserve">: đào sâu ý nghĩa kỹ thuật của từng bảng kết quả</w:t>
      </w:r>
      <w:r>
        <w:t xml:space="preserve"> </w:t>
      </w:r>
      <w:r>
        <w:t xml:space="preserve">(ví dụ: utilization ratio 0.9971 có ý nghĩa gì với kỹ sư thiết kế thực</w:t>
      </w:r>
      <w:r>
        <w:t xml:space="preserve"> </w:t>
      </w:r>
      <w:r>
        <w:t xml:space="preserve">tế — biên an toàn còn lại rất mỏng, cần lưu ý gì khi áp dụng).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phạm vi (giá trị gia tăng lớn nhất của CĐ3, nhưng KHÔNG</w:t>
      </w:r>
      <w:r>
        <w:rPr>
          <w:b/>
          <w:bCs/>
        </w:rPr>
        <w:t xml:space="preserve"> </w:t>
      </w:r>
      <w:r>
        <w:rPr>
          <w:b/>
          <w:bCs/>
        </w:rPr>
        <w:t xml:space="preserve">khóa cứng ngay từ bây giờ)</w:t>
      </w:r>
      <w:r>
        <w:t xml:space="preserve">: mục 3.3.x — kiểm chứng bổ sung trên</w:t>
      </w:r>
      <w:r>
        <w:t xml:space="preserve"> </w:t>
      </w:r>
      <w:r>
        <w:rPr>
          <w:b/>
          <w:bCs/>
        </w:rPr>
        <w:t xml:space="preserve">hệ cọc cầu tàu container 100.000 DWT độc lập với Hải Linh</w:t>
      </w:r>
      <w:r>
        <w:t xml:space="preserve"> </w:t>
      </w:r>
      <w:r>
        <w:t xml:space="preserve">(từ</w:t>
      </w:r>
      <w:r>
        <w:t xml:space="preserve"> </w:t>
      </w:r>
      <w:r>
        <w:t xml:space="preserve">công bố #5). #5 hiện</w:t>
      </w:r>
      <w:r>
        <w:t xml:space="preserve"> </w:t>
      </w:r>
      <w:r>
        <w:rPr>
          <w:b/>
          <w:bCs/>
        </w:rPr>
        <w:t xml:space="preserve">đang triển khai</w:t>
      </w:r>
      <w:r>
        <w:t xml:space="preserve"> </w:t>
      </w:r>
      <w:r>
        <w:t xml:space="preserve">(chưa nộp) theo</w:t>
      </w:r>
      <w:r>
        <w:t xml:space="preserve"> </w:t>
      </w:r>
      <w:r>
        <w:rPr>
          <w:rStyle w:val="VerbatimChar"/>
        </w:rPr>
        <w:t xml:space="preserve">Danh_muc_cong_bo_khoa_hoc_7_bai.md</w:t>
      </w:r>
      <w:r>
        <w:t xml:space="preserve">. Quy tắc áp dụng: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Nếu dữ liệu bài #5 đầy đủ</w:t>
      </w:r>
      <w:r>
        <w:t xml:space="preserve"> </w:t>
      </w:r>
      <w:r>
        <w:t xml:space="preserve">khi hoàn thành → nâng mục 3.3.x thành</w:t>
      </w:r>
      <w:r>
        <w:t xml:space="preserve"> </w:t>
      </w:r>
      <w:r>
        <w:t xml:space="preserve">kết quả kiểm chứng bổ sung</w:t>
      </w:r>
      <w:r>
        <w:t xml:space="preserve"> </w:t>
      </w:r>
      <w:r>
        <w:rPr>
          <w:b/>
          <w:bCs/>
        </w:rPr>
        <w:t xml:space="preserve">chính thức</w:t>
      </w:r>
      <w:r>
        <w:t xml:space="preserve"> </w:t>
      </w:r>
      <w:r>
        <w:t xml:space="preserve">(bằng chứng tổng quát hóa</w:t>
      </w:r>
      <w:r>
        <w:t xml:space="preserve"> </w:t>
      </w:r>
      <w:r>
        <w:t xml:space="preserve">thực sự, không chỉ thảo luận).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Nếu dữ liệu chưa đầy đủ</w:t>
      </w:r>
      <w:r>
        <w:t xml:space="preserve"> </w:t>
      </w:r>
      <w:r>
        <w:t xml:space="preserve">→ chỉ dùng ở mức thảo luận/bằng chứng</w:t>
      </w:r>
      <w:r>
        <w:t xml:space="preserve"> </w:t>
      </w:r>
      <w:r>
        <w:t xml:space="preserve">hỗ trợ (như một mục trong 3.9.x), không trình bày như kết quả chính</w:t>
      </w:r>
      <w:r>
        <w:t xml:space="preserve"> </w:t>
      </w:r>
      <w:r>
        <w:t xml:space="preserve">thức.</w:t>
      </w:r>
      <w:r>
        <w:t xml:space="preserve"> </w:t>
      </w:r>
      <w:r>
        <w:t xml:space="preserve">Không để tiến độ bài #5 trở thành nút thắt của CĐ3.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đối chứng</w:t>
      </w:r>
      <w:r>
        <w:t xml:space="preserve">: mục 3.9.x — thảo luận tổng quát hóa qua các</w:t>
      </w:r>
      <w:r>
        <w:t xml:space="preserve"> </w:t>
      </w:r>
      <w:r>
        <w:t xml:space="preserve">công bố khác (#1 dây neo phao, #3 tường chắn, #4 khung thép, #6–#7 hệ cọc cầu tàu).</w:t>
      </w:r>
    </w:p>
    <w:p>
      <w:r>
        <w:pict>
          <v:rect style="width:0;height:1.5pt" o:hralign="center" o:hrstd="t" o:hr="t"/>
        </w:pict>
      </w:r>
    </w:p>
    <w:bookmarkEnd w:id="12"/>
    <w:bookmarkStart w:id="16" w:name="X23e671e8ca7c2064bb06ceb86c7156c3a9ae335"/>
    <w:p>
      <w:pPr>
        <w:pStyle w:val="Heading2"/>
      </w:pPr>
      <w:r>
        <w:t xml:space="preserve">3. Cấu trúc 3 chương bắt buộc (dàn ý chi tiết)</w:t>
      </w:r>
    </w:p>
    <w:bookmarkStart w:id="13" w:name="X9cfec46d686a3d9dd2fd4a9267ee229203a3254"/>
    <w:p>
      <w:pPr>
        <w:pStyle w:val="Heading3"/>
      </w:pPr>
      <w:r>
        <w:t xml:space="preserve">CHƯƠNG 1 — MÔ HÌNH BÀI TOÁN TỐI ƯU KẾT CẤU CẢNG BIỂN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1.1. Mở đầu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1.2. Đối tượng nghiên cứu</w:t>
      </w:r>
      <w:r>
        <w:t xml:space="preserve">: 1.2.1 Berthing Dolphin (BD); 1.2.2</w:t>
      </w:r>
      <w:r>
        <w:t xml:space="preserve"> </w:t>
      </w:r>
      <w:r>
        <w:t xml:space="preserve">Mooring Dolphin (MD); 1.2.3 Main Jetty Platform (MJP) — mô tả kết cấu</w:t>
      </w:r>
      <w:r>
        <w:t xml:space="preserve"> </w:t>
      </w:r>
      <w:r>
        <w:t xml:space="preserve">ở mục 5.1 dưới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1.3. Mô hình kết cấu</w:t>
      </w:r>
      <w:r>
        <w:t xml:space="preserve">: geometry, material, pile system, cap/deck</w:t>
      </w:r>
      <w:r>
        <w:t xml:space="preserve"> </w:t>
      </w:r>
      <w:r>
        <w:t xml:space="preserve">system, soil representation (mục 5.2, 5.4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1.4. Tải trọng và tổ hợp tải trọng</w:t>
      </w:r>
      <w:r>
        <w:t xml:space="preserve">: DL, BL, ML, LL, load</w:t>
      </w:r>
      <w:r>
        <w:t xml:space="preserve"> </w:t>
      </w:r>
      <w:r>
        <w:t xml:space="preserve">combinations (Bảng 6, 8 — mục 5.3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1.5. Biến thiết kế</w:t>
      </w:r>
      <w:r>
        <w:t xml:space="preserve">: pile diameter, wall thickness, rake, length,</w:t>
      </w:r>
      <w:r>
        <w:t xml:space="preserve"> </w:t>
      </w:r>
      <w:r>
        <w:t xml:space="preserve">MJP beam variables (Bảng 7 — mục 6.1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1.6. Hàm mục tiêu</w:t>
      </w:r>
      <w:r>
        <w:t xml:space="preserve">: construction cost, maximum displacement, Pareto</w:t>
      </w:r>
      <w:r>
        <w:t xml:space="preserve"> </w:t>
      </w:r>
      <w:r>
        <w:t xml:space="preserve">formulation (Eqs. 14–15 — mục 6.2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1.7. Ràng buộc</w:t>
      </w:r>
      <w:r>
        <w:t xml:space="preserve">: geometric, structural strength, pile compression,</w:t>
      </w:r>
      <w:r>
        <w:t xml:space="preserve"> </w:t>
      </w:r>
      <w:r>
        <w:t xml:space="preserve">uplift, bending, geotechnical, feasibility (Eqs. 16–23 — mục 6.3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1.8. Kết luận Chương 1</w:t>
      </w:r>
    </w:p>
    <w:bookmarkEnd w:id="13"/>
    <w:bookmarkStart w:id="14" w:name="X55a5c9f4feba74f4a3be0a897e74b624a38c426"/>
    <w:p>
      <w:pPr>
        <w:pStyle w:val="Heading3"/>
      </w:pPr>
      <w:r>
        <w:t xml:space="preserve">CHƯƠNG 2 — TÍCH HỢP MOSFOA–MATLAB–SAP2000 VÀ THỰC NGHIỆM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2.1. Kiến trúc hệ thống</w:t>
      </w:r>
      <w:r>
        <w:t xml:space="preserve">: vòng lặp MOSFOA → design variables →</w:t>
      </w:r>
      <w:r>
        <w:t xml:space="preserve"> </w:t>
      </w:r>
      <w:r>
        <w:t xml:space="preserve">MATLAB → SAP2000 → structural response → constraint evaluation →</w:t>
      </w:r>
      <w:r>
        <w:t xml:space="preserve"> </w:t>
      </w:r>
      <w:r>
        <w:t xml:space="preserve">objectives → Pareto archive → MOSFOA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2.2. Mô hình FEM</w:t>
      </w:r>
      <w:r>
        <w:t xml:space="preserve">: BD model, MD model, MJP model (mục 5.1 dưới)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2.3. Mô hình địa kỹ thuật</w:t>
      </w:r>
      <w:r>
        <w:t xml:space="preserve">: soil layers, axial/uplift capacity,</w:t>
      </w:r>
      <w:r>
        <w:t xml:space="preserve"> </w:t>
      </w:r>
      <w:r>
        <w:t xml:space="preserve">lateral restraint, equivalent support model (Bảng 9, mục 6.4 dưới)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2.4. Constraint handling</w:t>
      </w:r>
      <w:r>
        <w:t xml:space="preserve">: pre-analysis hard constraints, SAP2000</w:t>
      </w:r>
      <w:r>
        <w:t xml:space="preserve"> </w:t>
      </w:r>
      <w:r>
        <w:t xml:space="preserve">analysis, resistance checks, penalty, final feasibility audit (mục</w:t>
      </w:r>
      <w:r>
        <w:t xml:space="preserve"> </w:t>
      </w:r>
      <w:r>
        <w:t xml:space="preserve">6.3 dưới)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2.5. Thiết lập tối ưu</w:t>
      </w:r>
      <w:r>
        <w:t xml:space="preserve">: population=100, iterations=300, archive=100,</w:t>
      </w:r>
      <w:r>
        <w:t xml:space="preserve"> </w:t>
      </w:r>
      <w:r>
        <w:t xml:space="preserve">grid=10 divisions,</w:t>
      </w:r>
      <w:r>
        <w:t xml:space="preserve"> </w:t>
      </w:r>
      <m:oMath>
        <m:r>
          <m:t>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→ 30,100 FEs/cặp thuật toán-case; 25</w:t>
      </w:r>
      <w:r>
        <w:t xml:space="preserve"> </w:t>
      </w:r>
      <w:r>
        <w:t xml:space="preserve">instances SAP2000 song song; workstation Intel Xeon E5-2667 v2, 16</w:t>
      </w:r>
      <w:r>
        <w:t xml:space="preserve"> </w:t>
      </w:r>
      <w:r>
        <w:t xml:space="preserve">physical cores, 32 logical processors, 64GB RAM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2.6. Thiết kế sáu bài toán kỹ thuật</w:t>
      </w:r>
      <w:r>
        <w:t xml:space="preserve">: BD×B-MOSFOA, BD×E-MOSFOA,</w:t>
      </w:r>
      <w:r>
        <w:t xml:space="preserve"> </w:t>
      </w:r>
      <w:r>
        <w:t xml:space="preserve">MD×B-MOSFOA, MD×E-MOSFOA, MJP×B-MOSFOA, MJP×E-MOSFOA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2.7. Kiểm chứng quy trình</w:t>
      </w:r>
      <w:r>
        <w:t xml:space="preserve">: model/load/constraint consistency,</w:t>
      </w:r>
      <w:r>
        <w:t xml:space="preserve"> </w:t>
      </w:r>
      <w:r>
        <w:t xml:space="preserve">reanalysis selected Pareto solutions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2.8. Kết luận Chương 2</w:t>
      </w:r>
    </w:p>
    <w:bookmarkEnd w:id="14"/>
    <w:bookmarkStart w:id="15" w:name="X1f18542e2b8afbc9f8e155e5fc009e5047adc67"/>
    <w:p>
      <w:pPr>
        <w:pStyle w:val="Heading3"/>
      </w:pPr>
      <w:r>
        <w:t xml:space="preserve">CHƯƠNG 3 — KẾT QUẢ TỐI ƯU VÀ Ý NGHĨA KỸ THUẬT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3.1. Kết quả BD</w:t>
      </w:r>
      <w:r>
        <w:t xml:space="preserve"> </w:t>
      </w:r>
      <w:r>
        <w:t xml:space="preserve">(Bảng 10, mục 7.1 dưới)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3.2. Kết quả MD</w:t>
      </w:r>
      <w:r>
        <w:t xml:space="preserve"> </w:t>
      </w:r>
      <w:r>
        <w:t xml:space="preserve">(Bảng 11, mục 7.2 dưới)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3.3. Kết quả MJP</w:t>
      </w:r>
      <w:r>
        <w:t xml:space="preserve"> </w:t>
      </w:r>
      <w:r>
        <w:t xml:space="preserve">(Bảng 12, mục 7.3 dưới)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3.3.x (MỚI — giá trị gia tăng, dùng công bố #5) Kiểm chứng</w:t>
      </w:r>
      <w:r>
        <w:rPr>
          <w:b/>
          <w:bCs/>
        </w:rPr>
        <w:t xml:space="preserve"> </w:t>
      </w:r>
      <w:r>
        <w:rPr>
          <w:b/>
          <w:bCs/>
        </w:rPr>
        <w:t xml:space="preserve">bổ sung trên case độc lập</w:t>
      </w:r>
      <w:r>
        <w:t xml:space="preserve"> </w:t>
      </w:r>
      <w:r>
        <w:t xml:space="preserve">— trình bày tóm tắt kết quả bài báo #5</w:t>
      </w:r>
      <w:r>
        <w:t xml:space="preserve"> </w:t>
      </w:r>
      <w:r>
        <w:t xml:space="preserve">về hệ cọc cầu tàu container 100.000 DWT, có đối sánh MOFDA–MOSFOA và</w:t>
      </w:r>
      <w:r>
        <w:t xml:space="preserve"> </w:t>
      </w:r>
      <w:r>
        <w:t xml:space="preserve">độc lập với BD/MD/MJP. Mục này là</w:t>
      </w:r>
      <w:r>
        <w:t xml:space="preserve"> </w:t>
      </w:r>
      <w:r>
        <w:rPr>
          <w:b/>
          <w:bCs/>
        </w:rPr>
        <w:t xml:space="preserve">bằng</w:t>
      </w:r>
      <w:r>
        <w:rPr>
          <w:b/>
          <w:bCs/>
        </w:rPr>
        <w:t xml:space="preserve"> </w:t>
      </w:r>
      <w:r>
        <w:rPr>
          <w:b/>
          <w:bCs/>
        </w:rPr>
        <w:t xml:space="preserve">chứng tổng quát hóa chính thức</w:t>
      </w:r>
      <w:r>
        <w:t xml:space="preserve"> </w:t>
      </w:r>
      <w:r>
        <w:t xml:space="preserve">(không chỉ thảo luận), tăng sức</w:t>
      </w:r>
      <w:r>
        <w:t xml:space="preserve"> </w:t>
      </w:r>
      <w:r>
        <w:t xml:space="preserve">thuyết phục về khả năng áp dụng rộng của MOSFOA.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3.4. So sánh B-MOSFOA và E-MOSFOA trong bài toán kỹ thuật</w:t>
      </w:r>
      <w:r>
        <w:t xml:space="preserve"> </w:t>
      </w:r>
      <w:r>
        <w:t xml:space="preserve">(Bảng 13,</w:t>
      </w:r>
      <w:r>
        <w:t xml:space="preserve"> </w:t>
      </w:r>
      <w:r>
        <w:t xml:space="preserve">mục 7.4 dưới)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3.5. Phân tích Pareto</w:t>
      </w:r>
      <w:r>
        <w:t xml:space="preserve">: cost–displacement trade-off, ideal point,</w:t>
      </w:r>
      <w:r>
        <w:t xml:space="preserve"> </w:t>
      </w:r>
      <w:r>
        <w:t xml:space="preserve">compromise solution, engineering meaning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3.6. Kiểm chứng tính khả thi</w:t>
      </w:r>
      <w:r>
        <w:t xml:space="preserve">: strength/geotechnical/uplift/</w:t>
      </w:r>
      <w:r>
        <w:t xml:space="preserve"> </w:t>
      </w:r>
      <w:r>
        <w:t xml:space="preserve">geometric utilization, archive-wide feasibility (Bảng 13)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3.7. Hiệu quả kinh tế–kỹ thuật</w:t>
      </w:r>
      <w:r>
        <w:t xml:space="preserve">: cost reduction, displacement</w:t>
      </w:r>
      <w:r>
        <w:t xml:space="preserve"> </w:t>
      </w:r>
      <w:r>
        <w:t xml:space="preserve">reduction, so sánh với thiết kế hiện trạng (số liệu mục 7.1–7.3)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3.8. Quy tắc lựa chọn nghiệm Pareto</w:t>
      </w:r>
      <w:r>
        <w:t xml:space="preserve">: minimum cost, minimum</w:t>
      </w:r>
      <w:r>
        <w:t xml:space="preserve"> </w:t>
      </w:r>
      <w:r>
        <w:t xml:space="preserve">displacement, compromise, decision map, khuyến nghị cho kỹ sư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3.9. Phân tích giới hạn và khả năng mở rộng</w:t>
      </w:r>
      <w:r>
        <w:t xml:space="preserve"> </w:t>
      </w:r>
      <w:r>
        <w:t xml:space="preserve">(mục 8 dưới)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3.9.x (MỚI) Thảo luận tổng quát hóa qua các công bố bổ trợ</w:t>
      </w:r>
      <w:r>
        <w:t xml:space="preserve"> </w:t>
      </w:r>
      <w:r>
        <w:t xml:space="preserve">— liên hệ</w:t>
      </w:r>
      <w:r>
        <w:t xml:space="preserve"> </w:t>
      </w:r>
      <w:r>
        <w:t xml:space="preserve">ngắn gọn với #1 dây neo phao, #3 tường chắn, #4 khung thép, #6 kiểm</w:t>
      </w:r>
      <w:r>
        <w:t xml:space="preserve"> </w:t>
      </w:r>
      <w:r>
        <w:t xml:space="preserve">chứng hai công trình và #7 phân tích độ nhạy; lập luận khả năng mở rộng</w:t>
      </w:r>
      <w:r>
        <w:t xml:space="preserve"> </w:t>
      </w:r>
      <w:r>
        <w:t xml:space="preserve">ngoài BD/MD/MJP nhưng không biến các công bố này thành một hướng riêng.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3.10. Đóng góp của Chuyên đề 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3.11. Kết luận Chuyên đề 3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cd1fed91417027eb101262a43af54ea2817ddc1"/>
    <w:p>
      <w:pPr>
        <w:pStyle w:val="Heading2"/>
      </w:pPr>
      <w:r>
        <w:t xml:space="preserve">4. Bảy câu hỏi nghiên cứu của CĐ3 (dùng cho Mở đầu)</w:t>
      </w:r>
    </w:p>
    <w:p>
      <w:pPr>
        <w:pStyle w:val="Compact"/>
        <w:numPr>
          <w:ilvl w:val="0"/>
          <w:numId w:val="1007"/>
        </w:numPr>
      </w:pPr>
      <w:r>
        <w:t xml:space="preserve">MOSFOA có giải được bài toán kết cấu cảng thực tế không?</w:t>
      </w:r>
    </w:p>
    <w:p>
      <w:pPr>
        <w:pStyle w:val="Compact"/>
        <w:numPr>
          <w:ilvl w:val="0"/>
          <w:numId w:val="1007"/>
        </w:numPr>
      </w:pPr>
      <w:r>
        <w:t xml:space="preserve">Quy trình MATLAB–SAP2000 hoạt động như thế nào?</w:t>
      </w:r>
    </w:p>
    <w:p>
      <w:pPr>
        <w:pStyle w:val="Compact"/>
        <w:numPr>
          <w:ilvl w:val="0"/>
          <w:numId w:val="1007"/>
        </w:numPr>
      </w:pPr>
      <w:r>
        <w:t xml:space="preserve">Pareto cost–displacement có ý nghĩa kỹ thuật không?</w:t>
      </w:r>
    </w:p>
    <w:p>
      <w:pPr>
        <w:pStyle w:val="Compact"/>
        <w:numPr>
          <w:ilvl w:val="0"/>
          <w:numId w:val="1007"/>
        </w:numPr>
      </w:pPr>
      <w:r>
        <w:t xml:space="preserve">Các nghiệm Pareto có thực sự khả thi theo tiêu chuẩn không?</w:t>
      </w:r>
    </w:p>
    <w:p>
      <w:pPr>
        <w:pStyle w:val="Compact"/>
        <w:numPr>
          <w:ilvl w:val="0"/>
          <w:numId w:val="1007"/>
        </w:numPr>
      </w:pPr>
      <w:r>
        <w:t xml:space="preserve">MOSFOA tạo ra lợi ích gì so với thiết kế hiện trạng?</w:t>
      </w:r>
    </w:p>
    <w:p>
      <w:pPr>
        <w:pStyle w:val="Compact"/>
        <w:numPr>
          <w:ilvl w:val="0"/>
          <w:numId w:val="1007"/>
        </w:numPr>
      </w:pPr>
      <w:r>
        <w:t xml:space="preserve">Có thể chuyển kết quả thành quy trình hỗ trợ kỹ sư thiết kế không?</w:t>
      </w:r>
    </w:p>
    <w:p>
      <w:pPr>
        <w:pStyle w:val="Compact"/>
        <w:numPr>
          <w:ilvl w:val="0"/>
          <w:numId w:val="1007"/>
        </w:numPr>
      </w:pPr>
      <w:r>
        <w:t xml:space="preserve">Những giới hạn nào còn tồn tại và đâu là hướng phát triển luận án?</w:t>
      </w:r>
    </w:p>
    <w:p>
      <w:r>
        <w:pict>
          <v:rect style="width:0;height:1.5pt" o:hralign="center" o:hrstd="t" o:hr="t"/>
        </w:pict>
      </w:r>
    </w:p>
    <w:bookmarkEnd w:id="17"/>
    <w:bookmarkStart w:id="23" w:name="Xb729c66eaca0df3338a5111ad019ca9a9f87c38"/>
    <w:p>
      <w:pPr>
        <w:pStyle w:val="Heading2"/>
      </w:pPr>
      <w:r>
        <w:t xml:space="preserve">5. Mô tả kết cấu và tải trọng (dữ liệu cho Chương 1/2 — trích bài báo Q3, mục 4.1)</w:t>
      </w:r>
    </w:p>
    <w:bookmarkStart w:id="18" w:name="X111c9611282200a3c4cd42b6524ebf6312665ea"/>
    <w:p>
      <w:pPr>
        <w:pStyle w:val="Heading3"/>
      </w:pPr>
      <w:r>
        <w:t xml:space="preserve">5.1. Ba hệ kết cấu — dự án bến cảng lỏng-rời Hải Linh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BD (Berthing Dolphin)</w:t>
      </w:r>
      <w:r>
        <w:t xml:space="preserve">: 19 cọc BTCT dự ứng lực D600, chiều dài danh</w:t>
      </w:r>
      <w:r>
        <w:t xml:space="preserve"> </w:t>
      </w:r>
      <w:r>
        <w:t xml:space="preserve">nghĩa 39m: 9 cọc thẳng đứng, 6 cọc xiên trong mặt phẳng độ dốc 1:6, 4</w:t>
      </w:r>
      <w:r>
        <w:t xml:space="preserve"> </w:t>
      </w:r>
      <w:r>
        <w:t xml:space="preserve">cọc xiên không gian cùng độ dốc, góc bố trí mặt bằng 30°/60°. Bệ cọc</w:t>
      </w:r>
      <w:r>
        <w:t xml:space="preserve"> </w:t>
      </w:r>
      <w:r>
        <w:t xml:space="preserve">đổ tại chỗ BTCT C40/50 kích thước 8.4×9.6m, chiều sâu 2.0–3.0m (vùng</w:t>
      </w:r>
      <w:r>
        <w:t xml:space="preserve"> </w:t>
      </w:r>
      <w:r>
        <w:t xml:space="preserve">gắn đệm va dày hơn để tăng khả năng chịu uốn/cắt).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MD (Mooring Dolphin)</w:t>
      </w:r>
      <w:r>
        <w:t xml:space="preserve">: 9 cọc BTCT dự ứng lực D600: 1 cọc thẳng</w:t>
      </w:r>
      <w:r>
        <w:t xml:space="preserve"> </w:t>
      </w:r>
      <w:r>
        <w:t xml:space="preserve">đứng, 4 cọc xiên trong mặt phẳng độ dốc 1:6, 4 cọc xiên không gian</w:t>
      </w:r>
      <w:r>
        <w:t xml:space="preserve"> </w:t>
      </w:r>
      <w:r>
        <w:t xml:space="preserve">cùng độ dốc, góc bố trí 45°. Bệ cọc BTCT C40/50 kích thước</w:t>
      </w:r>
      <w:r>
        <w:t xml:space="preserve"> </w:t>
      </w:r>
      <w:r>
        <w:t xml:space="preserve">4.5×4.5×2.0m.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MJP (Main Jetty Platform)</w:t>
      </w:r>
      <w:r>
        <w:t xml:space="preserve">: kết cấu bản/dầm BTCT dự ứng lực trên hệ</w:t>
      </w:r>
      <w:r>
        <w:t xml:space="preserve"> </w:t>
      </w:r>
      <w:r>
        <w:t xml:space="preserve">cọc thẳng đứng, gồm dầm ngang, dầm dọc, bản mặt cầu đổ tại chỗ. Không</w:t>
      </w:r>
      <w:r>
        <w:t xml:space="preserve"> </w:t>
      </w:r>
      <w:r>
        <w:t xml:space="preserve">chịu tải va trực tiếp; tải trọng chính là DL và LL (thiết bị, người).</w:t>
      </w:r>
      <w:r>
        <w:t xml:space="preserve"> </w:t>
      </w:r>
      <w:r>
        <w:t xml:space="preserve">Baseline hiện trạng dùng cọc thẳng đứng D500, chiều dài danh nghĩa 38m.</w:t>
      </w:r>
    </w:p>
    <w:bookmarkEnd w:id="18"/>
    <w:bookmarkStart w:id="19" w:name="tổ-hợp-tải-trọng-bảng-6-gốc"/>
    <w:p>
      <w:pPr>
        <w:pStyle w:val="Heading3"/>
      </w:pPr>
      <w:r>
        <w:t xml:space="preserve">5.2. Tổ hợp tải trọng (Bảng 6 gốc)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Kết cấu</w:t>
            </w:r>
          </w:p>
        </w:tc>
        <w:tc>
          <w:tcPr/>
          <w:p>
            <w:pPr>
              <w:pStyle w:val="Compact"/>
            </w:pPr>
            <w:r>
              <w:t xml:space="preserve">Tải trọng</w:t>
            </w:r>
          </w:p>
        </w:tc>
        <w:tc>
          <w:tcPr/>
          <w:p>
            <w:pPr>
              <w:pStyle w:val="Compact"/>
            </w:pPr>
            <w:r>
              <w:t xml:space="preserve">COMB1</w:t>
            </w:r>
          </w:p>
        </w:tc>
        <w:tc>
          <w:tcPr/>
          <w:p>
            <w:pPr>
              <w:pStyle w:val="Compact"/>
            </w:pPr>
            <w:r>
              <w:t xml:space="preserve">COMB2</w:t>
            </w:r>
          </w:p>
        </w:tc>
        <w:tc>
          <w:tcPr/>
          <w:p>
            <w:pPr>
              <w:pStyle w:val="Compact"/>
            </w:pPr>
            <w:r>
              <w:t xml:space="preserve">COMB3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DL / BL / ML</w:t>
            </w:r>
          </w:p>
        </w:tc>
        <w:tc>
          <w:tcPr/>
          <w:p>
            <w:pPr>
              <w:pStyle w:val="Compact"/>
            </w:pPr>
            <w:r>
              <w:t xml:space="preserve">1.0/–/–</w:t>
            </w:r>
          </w:p>
        </w:tc>
        <w:tc>
          <w:tcPr/>
          <w:p>
            <w:pPr>
              <w:pStyle w:val="Compact"/>
            </w:pPr>
            <w:r>
              <w:t xml:space="preserve">1.0/1.0/–</w:t>
            </w:r>
          </w:p>
        </w:tc>
        <w:tc>
          <w:tcPr/>
          <w:p>
            <w:pPr>
              <w:pStyle w:val="Compact"/>
            </w:pPr>
            <w:r>
              <w:t xml:space="preserve">1.0/–/1.0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DL / ML</w:t>
            </w:r>
          </w:p>
        </w:tc>
        <w:tc>
          <w:tcPr/>
          <w:p>
            <w:pPr>
              <w:pStyle w:val="Compact"/>
            </w:pPr>
            <w:r>
              <w:t xml:space="preserve">1.0/–</w:t>
            </w:r>
          </w:p>
        </w:tc>
        <w:tc>
          <w:tcPr/>
          <w:p>
            <w:pPr>
              <w:pStyle w:val="Compact"/>
            </w:pPr>
            <w:r>
              <w:t xml:space="preserve">1.0/1.0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MJP</w:t>
            </w:r>
          </w:p>
        </w:tc>
        <w:tc>
          <w:tcPr/>
          <w:p>
            <w:pPr>
              <w:pStyle w:val="Compact"/>
            </w:pPr>
            <w:r>
              <w:t xml:space="preserve">DL / LL</w:t>
            </w:r>
          </w:p>
        </w:tc>
        <w:tc>
          <w:tcPr/>
          <w:p>
            <w:pPr>
              <w:pStyle w:val="Compact"/>
            </w:pPr>
            <w:r>
              <w:t xml:space="preserve">1.0/–</w:t>
            </w:r>
          </w:p>
        </w:tc>
        <w:tc>
          <w:tcPr/>
          <w:p>
            <w:pPr>
              <w:pStyle w:val="Compact"/>
            </w:pPr>
            <w:r>
              <w:t xml:space="preserve">1.0/1.0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EV-COMB (envelope combination) áp dụng cho mọi trường hợp trên — lấy</w:t>
      </w:r>
      <w:r>
        <w:t xml:space="preserve"> </w:t>
      </w:r>
      <w:r>
        <w:t xml:space="preserve">bao (max/min) chứ không phải tổ hợp tuyến tính.</w:t>
      </w:r>
    </w:p>
    <w:bookmarkEnd w:id="19"/>
    <w:bookmarkStart w:id="20" w:name="giá-trị-tải-trọng-bảng-8-gốc"/>
    <w:p>
      <w:pPr>
        <w:pStyle w:val="Heading3"/>
      </w:pPr>
      <w:r>
        <w:t xml:space="preserve">5.3. Giá trị tải trọng (Bảng 8 gốc)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Tải trọng</w:t>
            </w:r>
          </w:p>
        </w:tc>
        <w:tc>
          <w:tcPr/>
          <w:p>
            <w:pPr>
              <w:pStyle w:val="Compact"/>
            </w:pPr>
            <w:r>
              <w:t xml:space="preserve">X (kN)</w:t>
            </w:r>
          </w:p>
        </w:tc>
        <w:tc>
          <w:tcPr/>
          <w:p>
            <w:pPr>
              <w:pStyle w:val="Compact"/>
            </w:pPr>
            <w:r>
              <w:t xml:space="preserve">Y (kN)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tính nội bộ bởi SAP2000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 (va tàu)</w:t>
            </w:r>
          </w:p>
        </w:tc>
        <w:tc>
          <w:tcPr/>
          <w:p>
            <w:pPr>
              <w:pStyle w:val="Compact"/>
            </w:pPr>
            <w:r>
              <w:t xml:space="preserve">222.42</w:t>
            </w:r>
          </w:p>
        </w:tc>
        <w:tc>
          <w:tcPr/>
          <w:p>
            <w:pPr>
              <w:pStyle w:val="Compact"/>
            </w:pPr>
            <w:r>
              <w:t xml:space="preserve">444.83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(neo tàu)</w:t>
            </w:r>
          </w:p>
        </w:tc>
        <w:tc>
          <w:tcPr/>
          <w:p>
            <w:pPr>
              <w:pStyle w:val="Compact"/>
            </w:pPr>
            <w:r>
              <w:t xml:space="preserve">99.05</w:t>
            </w:r>
          </w:p>
        </w:tc>
        <w:tc>
          <w:tcPr/>
          <w:p>
            <w:pPr>
              <w:pStyle w:val="Compact"/>
            </w:pPr>
            <w:r>
              <w:t xml:space="preserve">118.07</w:t>
            </w:r>
          </w:p>
        </w:tc>
        <w:tc>
          <w:tcPr/>
          <w:p>
            <w:pPr>
              <w:pStyle w:val="Compact"/>
            </w:pPr>
            <w:r>
              <w:t xml:space="preserve">71.2 kN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 (MJP)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9.81 kN/m²</w:t>
            </w:r>
          </w:p>
        </w:tc>
      </w:tr>
    </w:tbl>
    <w:bookmarkEnd w:id="20"/>
    <w:bookmarkStart w:id="21" w:name="địa-chất-bảng-9-gốc-6-lớp-đất"/>
    <w:p>
      <w:pPr>
        <w:pStyle w:val="Heading3"/>
      </w:pPr>
      <w:r>
        <w:t xml:space="preserve">5.4. Địa chất (Bảng 9 gốc — 6 lớp đất)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Loại đất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Chiều dày (m)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Sét</w:t>
            </w:r>
          </w:p>
        </w:tc>
        <w:tc>
          <w:tcPr/>
          <w:p>
            <w:pPr>
              <w:pStyle w:val="Compact"/>
            </w:pPr>
            <w:r>
              <w:t xml:space="preserve">Rất mềm–mềm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Sét</w:t>
            </w:r>
          </w:p>
        </w:tc>
        <w:tc>
          <w:tcPr/>
          <w:p>
            <w:pPr>
              <w:pStyle w:val="Compact"/>
            </w:pPr>
            <w:r>
              <w:t xml:space="preserve">Cứng–rất cứng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Sét</w:t>
            </w:r>
          </w:p>
        </w:tc>
        <w:tc>
          <w:tcPr/>
          <w:p>
            <w:pPr>
              <w:pStyle w:val="Compact"/>
            </w:pPr>
            <w:r>
              <w:t xml:space="preserve">Mềm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Sét</w:t>
            </w:r>
          </w:p>
        </w:tc>
        <w:tc>
          <w:tcPr/>
          <w:p>
            <w:pPr>
              <w:pStyle w:val="Compact"/>
            </w:pPr>
            <w:r>
              <w:t xml:space="preserve">Cứng–rất cứng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Sét</w:t>
            </w:r>
          </w:p>
        </w:tc>
        <w:tc>
          <w:tcPr/>
          <w:p>
            <w:pPr>
              <w:pStyle w:val="Compact"/>
            </w:pPr>
            <w:r>
              <w:t xml:space="preserve">Mềm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Cát</w:t>
            </w:r>
          </w:p>
        </w:tc>
        <w:tc>
          <w:tcPr/>
          <w:p>
            <w:pPr>
              <w:pStyle w:val="Compact"/>
            </w:pPr>
            <w:r>
              <w:t xml:space="preserve">Hạt trung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</w:tbl>
    <w:p>
      <w:pPr>
        <w:pStyle w:val="BodyText"/>
      </w:pPr>
      <w:r>
        <w:t xml:space="preserve">Mô hình hóa: sức chịu tải dọc trục và nhổ theo toàn bộ chiều dài cọc</w:t>
      </w:r>
      <w:r>
        <w:t xml:space="preserve"> </w:t>
      </w:r>
      <w:r>
        <w:t xml:space="preserve">(TCVN 10304:2014); khống chế ngang bằng mô hình gối tựa tương đương tại</w:t>
      </w:r>
      <w:r>
        <w:t xml:space="preserve"> </w:t>
      </w:r>
      <w:r>
        <w:t xml:space="preserve">chiều sâu ngàm tính toán</w:t>
      </w:r>
      <w:r>
        <w:t xml:space="preserve"> </w:t>
      </w:r>
      <m:oMath>
        <m:sSub>
          <m:e>
            <m:r>
              <m:t>l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(xem Eqs. ở mục 6.3).</w:t>
      </w:r>
    </w:p>
    <w:bookmarkEnd w:id="21"/>
    <w:bookmarkStart w:id="22" w:name="đơn-giá-tham-chiếu-2025-hải-phòng"/>
    <w:p>
      <w:pPr>
        <w:pStyle w:val="Heading3"/>
      </w:pPr>
      <w:r>
        <w:t xml:space="preserve">5.5. Đơn giá tham chiếu (2025, Hải Phòng)</w:t>
      </w:r>
    </w:p>
    <w:p>
      <w:pPr>
        <w:pStyle w:val="FirstParagraph"/>
      </w:pPr>
      <w:r>
        <w:t xml:space="preserve">Tỷ giá tính toán: 1 USD = 24.500 VND.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46.25</m:t>
        </m:r>
      </m:oMath>
      <w:r>
        <w:t xml:space="preserve"> </w:t>
      </w:r>
      <w:r>
        <w:t xml:space="preserve">USD/m³ (bê tông),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0.57</m:t>
        </m:r>
      </m:oMath>
      <w:r>
        <w:t xml:space="preserve"> </w:t>
      </w:r>
      <w:r>
        <w:t xml:space="preserve">USD/kg (cốt thép). Đơn giá cọc theo loại/đường kính lấy</w:t>
      </w:r>
      <w:r>
        <w:t xml:space="preserve"> </w:t>
      </w:r>
      <w:r>
        <w:t xml:space="preserve">theo công bố giá Hải Phòng 2025 + danh mục nhà cung cấp công khai (dùng</w:t>
      </w:r>
      <w:r>
        <w:t xml:space="preserve"> </w:t>
      </w:r>
      <w:r>
        <w:t xml:space="preserve">để so sánh kết quả tối ưu, không thay thế báo giá dự án cụ thể).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6188d189fa6d2dc7072dbd72e9b5396f40f6a4f"/>
    <w:p>
      <w:pPr>
        <w:pStyle w:val="Heading2"/>
      </w:pPr>
      <w:r>
        <w:t xml:space="preserve">6. Biến thiết kế, hàm mục tiêu, ràng buộc (dữ liệu cho Chương 1/2 — Eqs. 14–23)</w:t>
      </w:r>
    </w:p>
    <w:bookmarkStart w:id="24" w:name="bảng-7-biến-thiết-kế"/>
    <w:p>
      <w:pPr>
        <w:pStyle w:val="Heading3"/>
      </w:pPr>
      <w:r>
        <w:t xml:space="preserve">6.1. Bảng 7 — Biến thiết kế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Kết cấu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Miền 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BD, MD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— đường kính ngoài cọc (m)</w:t>
            </w:r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theo TCVN 7888:2014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— chiều dày thành cọc (m)</w:t>
            </w:r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theo TCVN 7888:2014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 </w:t>
            </w:r>
            <w:r>
              <w:t xml:space="preserve">— độ xiên cọc, tỷ lệ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:</m:t>
              </m:r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[6, 7, 8]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— chiều dài cọc (m)</w:t>
            </w:r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[1:0.1:40]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theo TCVN 7888:2014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[1–40]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— nhịp dầm dọc/ngang (m)</w:t>
            </w:r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[3–6]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7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 </w:t>
            </w:r>
            <w:r>
              <w:t xml:space="preserve">— bề rộng/chiều cao dầm (m)</w:t>
            </w:r>
          </w:p>
        </w:tc>
        <w:tc>
          <w:tcPr/>
          <w:p>
            <w:pPr>
              <w:pStyle w:val="Compact"/>
            </w:pPr>
            <w:r>
              <w:t xml:space="preserve">Rời rạc</w:t>
            </w:r>
          </w:p>
        </w:tc>
        <w:tc>
          <w:tcPr/>
          <w:p>
            <w:pPr>
              <w:pStyle w:val="Compact"/>
            </w:pPr>
            <w:r>
              <w:t xml:space="preserve">[0.5–2]</w:t>
            </w:r>
          </w:p>
        </w:tc>
      </w:tr>
    </w:tbl>
    <w:p>
      <w:pPr>
        <w:pStyle w:val="BodyText"/>
      </w:pPr>
      <w:r>
        <w:rPr>
          <w:i/>
          <w:iCs/>
        </w:rPr>
        <w:t xml:space="preserve">(Lưu ý: đường kính và chiều dày cọc được mã hóa chung thành 1 biến</w:t>
      </w:r>
      <w:r>
        <w:rPr>
          <w:i/>
          <w:iCs/>
        </w:rPr>
        <w:t xml:space="preserve"> </w:t>
      </w:r>
      <w:r>
        <w:rPr>
          <w:i/>
          <w:iCs/>
        </w:rPr>
        <w:t xml:space="preserve">“loại cọc”</w:t>
      </w:r>
      <w:r>
        <w:rPr>
          <w:i/>
          <w:iCs/>
        </w:rPr>
        <w:t xml:space="preserve"> </w:t>
      </w:r>
      <w:r>
        <w:rPr>
          <w:i/>
          <w:iCs/>
        </w:rPr>
        <w:t xml:space="preserve">trong triển khai thực tế — MJP có 6 biến mã hóa dù báo cáo</w:t>
      </w:r>
      <w:r>
        <w:rPr>
          <w:i/>
          <w:iCs/>
        </w:rPr>
        <w:t xml:space="preserve"> </w:t>
      </w:r>
      <w:r>
        <w:rPr>
          <w:i/>
          <w:iCs/>
        </w:rPr>
        <w:t xml:space="preserve">tách 7 mục.)</w:t>
      </w:r>
    </w:p>
    <w:bookmarkEnd w:id="24"/>
    <w:bookmarkStart w:id="25" w:name="hàm-mục-tiêu-eqs.-1415"/>
    <w:p>
      <w:pPr>
        <w:pStyle w:val="Heading3"/>
      </w:pPr>
      <w:r>
        <w:t xml:space="preserve">6.2. Hàm mục tiêu (Eqs. 14–15)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X</m:t>
              </m:r>
            </m:lim>
          </m:limLow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sSub>
                <m:e>
                  <m:r>
                    <m:t>L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t> </m:t>
          </m:r>
          <m:r>
            <m:rPr>
              <m:nor/>
              <m:sty m:val="p"/>
            </m:rPr>
            <m:t>(BD, MD)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sSub>
                <m:e>
                  <m:r>
                    <m:t>L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∑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t>a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∑</m:t>
          </m:r>
          <m:sSub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s</m:t>
              </m:r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(MJP)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= chuyển vị lớn nhất (maximum displacement) trả về từ</w:t>
      </w:r>
      <w:r>
        <w:t xml:space="preserve"> </w:t>
      </w:r>
      <w:r>
        <w:t xml:space="preserve">SAP2000.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số cọc;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— chiều dài cọc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đơn giá</w:t>
      </w:r>
      <w:r>
        <w:t xml:space="preserve"> </w:t>
      </w:r>
      <w:r>
        <w:t xml:space="preserve">cọc/m;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a</m:t>
            </m:r>
            <m:r>
              <m:t>m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— thể tích bê tông và khối lượng cốt thép</w:t>
      </w:r>
      <w:r>
        <w:t xml:space="preserve"> </w:t>
      </w:r>
      <w:r>
        <w:t xml:space="preserve">dầm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(MJP, thiết kế theo CSA A23.3-14 qua SAP2000).</w:t>
      </w:r>
    </w:p>
    <w:bookmarkEnd w:id="25"/>
    <w:bookmarkStart w:id="26" w:name="ràng-buộc-eqs.-1623"/>
    <w:p>
      <w:pPr>
        <w:pStyle w:val="Heading3"/>
      </w:pPr>
      <w:r>
        <w:t xml:space="preserve">6.3. Ràng buộc (Eqs. 16–23)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r>
                <m:rPr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Sup>
            <m:e>
              <m:r>
                <m:t>R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F</m:t>
              </m:r>
              <m:r>
                <m:t>E</m:t>
              </m:r>
              <m:r>
                <m:t>A</m:t>
              </m:r>
            </m:sup>
          </m:sSubSup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Sup>
            <m:e>
              <m:r>
                <m:t>M</m:t>
              </m:r>
            </m:e>
            <m:sub>
              <m:r>
                <m:t>k</m:t>
              </m:r>
            </m:sub>
            <m:sup>
              <m:r>
                <m:t>F</m:t>
              </m:r>
              <m:r>
                <m:t>E</m:t>
              </m:r>
              <m:r>
                <m:t>A</m:t>
              </m:r>
            </m:sup>
          </m:sSubSup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D</m:t>
              </m:r>
              <m:r>
                <m:t>L</m:t>
              </m:r>
            </m:sub>
            <m:sup>
              <m:r>
                <m:t>F</m:t>
              </m:r>
              <m:r>
                <m:t>E</m:t>
              </m:r>
              <m:r>
                <m:t>A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sSub>
            <m:e>
              <m:r>
                <m:t>N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c</m:t>
                  </m:r>
                  <m:r>
                    <m:t>k</m:t>
                  </m:r>
                </m:sub>
              </m:sSub>
            </m:num>
            <m:den>
              <m:sSub>
                <m:e>
                  <m:r>
                    <m:t>γ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 </m:t>
          </m:r>
          <m:r>
            <m:t>u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  <m:r>
                    <m:t>f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i</m:t>
              </m:r>
            </m:sub>
          </m:sSub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γ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  <m:r>
                    <m:t>q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u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c</m:t>
                      </m:r>
                      <m:r>
                        <m:t>f</m:t>
                      </m:r>
                    </m:sub>
                  </m:sSub>
                </m:e>
              </m:nary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Hệ số: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1.15</m:t>
        </m:r>
      </m:oMath>
      <w:r>
        <w:t xml:space="preserve"> </w:t>
      </w:r>
      <w:r>
        <w:t xml:space="preserve">(điều kiện làm việc nền),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1.15</m:t>
        </m:r>
      </m:oMath>
      <w:r>
        <w:t xml:space="preserve"> </w:t>
      </w:r>
      <w:r>
        <w:t xml:space="preserve">(tầm</w:t>
      </w:r>
      <w:r>
        <w:t xml:space="preserve"> </w:t>
      </w:r>
      <w:r>
        <w:t xml:space="preserve">quan trọng công trình),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1.55</m:t>
        </m:r>
      </m:oMath>
      <w:r>
        <w:t xml:space="preserve"> </w:t>
      </w:r>
      <w:r>
        <w:t xml:space="preserve">(độ tin cậy sức chịu tải cọc),</w:t>
      </w:r>
      <w:r>
        <w:t xml:space="preserve"> </w:t>
      </w:r>
      <m:oMath>
        <m:sSub>
          <m:e>
            <m:r>
              <m:t>γ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(nén)/</w:t>
      </w:r>
      <m:oMath>
        <m:sSub>
          <m:e>
            <m:r>
              <m:t>γ</m:t>
            </m:r>
          </m:e>
          <m:sub>
            <m:r>
              <m:t>c</m:t>
            </m:r>
            <m:r>
              <m:t>k</m:t>
            </m:r>
          </m:sub>
        </m:sSub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(nhổ),</w:t>
      </w:r>
      <w:r>
        <w:t xml:space="preserve"> </w:t>
      </w:r>
      <m:oMath>
        <m:sSub>
          <m:e>
            <m:r>
              <m:t>γ</m:t>
            </m:r>
          </m:e>
          <m:sub>
            <m:r>
              <m:t>c</m:t>
            </m:r>
            <m:r>
              <m:t>q</m:t>
            </m:r>
          </m:sub>
        </m:sSub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(mũi</w:t>
      </w:r>
      <w:r>
        <w:t xml:space="preserve"> </w:t>
      </w:r>
      <w:r>
        <w:t xml:space="preserve">cọc)/</w:t>
      </w:r>
      <m:oMath>
        <m:sSub>
          <m:e>
            <m:r>
              <m:t>γ</m:t>
            </m:r>
          </m:e>
          <m:sub>
            <m:r>
              <m:t>c</m:t>
            </m:r>
            <m:r>
              <m:t>f</m:t>
            </m:r>
          </m:sub>
        </m:sSub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(thân cọc). Ràng buộc nhổ (</w:t>
      </w:r>
      <m:oMath>
        <m:sSub>
          <m:e>
            <m:r>
              <m:t>g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) chỉ áp dụng</w:t>
      </w:r>
      <w:r>
        <w:t xml:space="preserve"> </w:t>
      </w:r>
      <w:r>
        <w:t xml:space="preserve">cho BD/MD, MJP = 0.</w:t>
      </w:r>
    </w:p>
    <w:p>
      <w:pPr>
        <w:pStyle w:val="BodyText"/>
      </w:pPr>
      <w:r>
        <w:rPr>
          <w:b/>
          <w:bCs/>
        </w:rPr>
        <w:t xml:space="preserve">Hàm phạt (Eqs. 22–23)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F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[</m:t>
          </m:r>
          <m:sSub>
            <m:e>
              <m:r>
                <m:t>g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Điều kiện tiền phân tích (pre-analysis, bắt buộc trước khi chạy</w:t>
      </w:r>
      <w:r>
        <w:rPr>
          <w:b/>
          <w:bCs/>
        </w:rPr>
        <w:t xml:space="preserve"> </w:t>
      </w:r>
      <w:r>
        <w:rPr>
          <w:b/>
          <w:bCs/>
        </w:rPr>
        <w:t xml:space="preserve">SAP2000)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≥</m:t>
        </m:r>
        <m:sSub>
          <m:e>
            <m:r>
              <m:t>l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(chiều dài cọc ≥ chiều sâu ngàm tính toán);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t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&lt;</m:t>
        </m:r>
        <m:r>
          <m:t>0.40</m:t>
        </m:r>
      </m:oMath>
      <w:r>
        <w:t xml:space="preserve"> </w:t>
      </w:r>
      <w:r>
        <w:t xml:space="preserve">(mũi cọc trong lớp đất đủ tốt);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  <m:r>
              <m:t>e</m:t>
            </m:r>
            <m:r>
              <m:t>a</m:t>
            </m:r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≥</m:t>
        </m:r>
        <m:r>
          <m:t>2.0</m:t>
        </m:r>
      </m:oMath>
      <w:r>
        <w:t xml:space="preserve">m (chiều dày lớp chịu lực đủ); MJP thêm điều kiện tương thích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  <m:r>
              <m:t>e</m:t>
            </m:r>
            <m:r>
              <m:t>a</m:t>
            </m:r>
            <m:r>
              <m:t>m</m:t>
            </m:r>
          </m:sub>
        </m:sSub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0.20</m:t>
        </m:r>
      </m:oMath>
      <w:r>
        <w:t xml:space="preserve">m. Vi phạm bất kỳ điều kiện nào → cả hai mục</w:t>
      </w:r>
      <w:r>
        <w:t xml:space="preserve"> </w:t>
      </w:r>
      <w:r>
        <w:t xml:space="preserve">tiêu gán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, bỏ qua phân tích SAP2000.</w:t>
      </w:r>
    </w:p>
    <w:bookmarkEnd w:id="26"/>
    <w:bookmarkStart w:id="27" w:name="mô-hình-địa-kỹ-thuật-khống-chế-ngang"/>
    <w:p>
      <w:pPr>
        <w:pStyle w:val="Heading3"/>
      </w:pPr>
      <w:r>
        <w:t xml:space="preserve">6.4. Mô hình địa kỹ thuật — khống chế ngang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e</m:t>
                          </m:r>
                          <m:r>
                            <m:t>q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I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Trong SAP2000: thay hiệu ứng đất bằng gối tựa dẫn hướng (guided support)</w:t>
      </w:r>
      <w:r>
        <w:t xml:space="preserve"> </w:t>
      </w:r>
      <w:r>
        <w:t xml:space="preserve">đặt tại chiều sâu</w:t>
      </w:r>
      <w:r>
        <w:t xml:space="preserve"> </w:t>
      </w:r>
      <m:oMath>
        <m:sSub>
          <m:e>
            <m:r>
              <m:t>l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trong nền, cộng gối con lăn tại mũi cọc. Chiều</w:t>
      </w:r>
      <w:r>
        <w:t xml:space="preserve"> </w:t>
      </w:r>
      <w:r>
        <w:t xml:space="preserve">dài vật lý cọc vẫn dùng để kiểm tra sức chịu tải và mũi cọc.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729aa39973d62cf560cc7434d7891b8417c6d44"/>
    <w:p>
      <w:pPr>
        <w:pStyle w:val="Heading2"/>
      </w:pPr>
      <w:r>
        <w:t xml:space="preserve">7. Kết quả tối ưu (dữ liệu cho Chương 3 — Bảng 10–13, trích nguyên bài báo Q3)</w:t>
      </w:r>
    </w:p>
    <w:bookmarkStart w:id="29" w:name="bảng-10-kết-quả-bd-thiết-kế-đại-diện"/>
    <w:p>
      <w:pPr>
        <w:pStyle w:val="Heading3"/>
      </w:pPr>
      <w:r>
        <w:t xml:space="preserve">7.1. Bảng 10 — Kết quả BD (thiết kế đại diện)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Thiết kế</w:t>
            </w:r>
          </w:p>
        </w:tc>
        <w:tc>
          <w:tcPr/>
          <w:p>
            <w:pPr>
              <w:pStyle w:val="Compact"/>
            </w:pPr>
            <w:r>
              <w:t xml:space="preserve">Loại cọc (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; giá USD/m)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(USD)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B-MOSFOA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700-A (0.70×0.10; 32.16)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16.9</w:t>
            </w:r>
          </w:p>
        </w:tc>
        <w:tc>
          <w:tcPr/>
          <w:p>
            <w:pPr>
              <w:pStyle w:val="Compact"/>
            </w:pPr>
            <w:r>
              <w:t xml:space="preserve">10,164.82</w:t>
            </w:r>
          </w:p>
        </w:tc>
        <w:tc>
          <w:tcPr/>
          <w:p>
            <w:pPr>
              <w:pStyle w:val="Compact"/>
            </w:pPr>
            <w:r>
              <w:t xml:space="preserve">0.01941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1000-A (1.00×0.13; 63.88)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19,221.93</w:t>
            </w:r>
          </w:p>
        </w:tc>
        <w:tc>
          <w:tcPr/>
          <w:p>
            <w:pPr>
              <w:pStyle w:val="Compact"/>
            </w:pPr>
            <w:r>
              <w:t xml:space="preserve">0.006097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1200-AB (1.20×0.15; 132.05)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41,491.17</w:t>
            </w:r>
          </w:p>
        </w:tc>
        <w:tc>
          <w:tcPr/>
          <w:p>
            <w:pPr>
              <w:pStyle w:val="Compact"/>
            </w:pPr>
            <w:r>
              <w:t xml:space="preserve">0.003496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E-MOSFOA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700-A (giống A)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16.9</w:t>
            </w:r>
          </w:p>
        </w:tc>
        <w:tc>
          <w:tcPr/>
          <w:p>
            <w:pPr>
              <w:pStyle w:val="Compact"/>
            </w:pPr>
            <w:r>
              <w:t xml:space="preserve">10,164.82</w:t>
            </w:r>
          </w:p>
        </w:tc>
        <w:tc>
          <w:tcPr/>
          <w:p>
            <w:pPr>
              <w:pStyle w:val="Compact"/>
            </w:pPr>
            <w:r>
              <w:t xml:space="preserve">0.01941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1000-A (giống B)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19,221.93</w:t>
            </w:r>
          </w:p>
        </w:tc>
        <w:tc>
          <w:tcPr/>
          <w:p>
            <w:pPr>
              <w:pStyle w:val="Compact"/>
            </w:pPr>
            <w:r>
              <w:t xml:space="preserve">0.006097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1200-C (1.20×0.15; 190.72)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59,924.15</w:t>
            </w:r>
          </w:p>
        </w:tc>
        <w:tc>
          <w:tcPr/>
          <w:p>
            <w:pPr>
              <w:pStyle w:val="Compact"/>
            </w:pPr>
            <w:r>
              <w:t xml:space="preserve">0.003496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Hiện trạng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600-C (0.60×0.10; 39)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39.0</w:t>
            </w:r>
          </w:p>
        </w:tc>
        <w:tc>
          <w:tcPr/>
          <w:p>
            <w:pPr>
              <w:pStyle w:val="Compact"/>
            </w:pPr>
            <w:r>
              <w:t xml:space="preserve">31,640.22</w:t>
            </w:r>
          </w:p>
        </w:tc>
        <w:tc>
          <w:tcPr/>
          <w:p>
            <w:pPr>
              <w:pStyle w:val="Compact"/>
            </w:pPr>
            <w:r>
              <w:t xml:space="preserve">0.03329</w:t>
            </w:r>
          </w:p>
        </w:tc>
      </w:tr>
    </w:tbl>
    <w:p>
      <w:pPr>
        <w:pStyle w:val="BodyText"/>
      </w:pPr>
      <w:r>
        <w:rPr>
          <w:b/>
          <w:bCs/>
        </w:rPr>
        <w:t xml:space="preserve">Nhận định</w:t>
      </w:r>
      <w:r>
        <w:t xml:space="preserve">: A/I giảm 67.9% chi phí, 41.7% chuyển vị so với hiện trạng</w:t>
      </w:r>
      <w:r>
        <w:t xml:space="preserve"> </w:t>
      </w:r>
      <w:r>
        <w:t xml:space="preserve">(cải thiện đồng thời cả hai mục tiêu → thiết kế hiện trạng bị trội). B/II</w:t>
      </w:r>
      <w:r>
        <w:t xml:space="preserve"> </w:t>
      </w:r>
      <w:r>
        <w:t xml:space="preserve">giảm 39.2% chi phí, 81.7% chuyển vị. C/III cùng giảm 89.5% chuyển vị,</w:t>
      </w:r>
      <w:r>
        <w:t xml:space="preserve"> </w:t>
      </w:r>
      <w:r>
        <w:t xml:space="preserve">nhưng C rẻ hơn III 30.8% ở cùng mức chuyển vị (0.003496m) → B-MOSFOA cho</w:t>
      </w:r>
      <w:r>
        <w:t xml:space="preserve"> </w:t>
      </w:r>
      <w:r>
        <w:t xml:space="preserve">nghiệm kinh tế hơn ở đầu mút chuyển vị nhỏ nhất.</w:t>
      </w:r>
    </w:p>
    <w:bookmarkEnd w:id="29"/>
    <w:bookmarkStart w:id="30" w:name="bảng-11-kết-quả-md"/>
    <w:p>
      <w:pPr>
        <w:pStyle w:val="Heading3"/>
      </w:pPr>
      <w:r>
        <w:t xml:space="preserve">7.2. Bảng 11 — Kết quả 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Thiết kế</w:t>
            </w:r>
          </w:p>
        </w:tc>
        <w:tc>
          <w:tcPr/>
          <w:p>
            <w:pPr>
              <w:pStyle w:val="Compact"/>
            </w:pPr>
            <w:r>
              <w:t xml:space="preserve">Loại cọc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(USD)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B-MOSFOA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450-A (0.45×0.07; 16.82)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2,422.23</w:t>
            </w:r>
          </w:p>
        </w:tc>
        <w:tc>
          <w:tcPr/>
          <w:p>
            <w:pPr>
              <w:pStyle w:val="Compact"/>
            </w:pPr>
            <w:r>
              <w:t xml:space="preserve">0.02459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700-A (0.70×0.10; 32.16)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4,630.61</w:t>
            </w:r>
          </w:p>
        </w:tc>
        <w:tc>
          <w:tcPr/>
          <w:p>
            <w:pPr>
              <w:pStyle w:val="Compact"/>
            </w:pPr>
            <w:r>
              <w:t xml:space="preserve">0.004941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1200-A (1.20×0.15; 100.95)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15,263.70</w:t>
            </w:r>
          </w:p>
        </w:tc>
        <w:tc>
          <w:tcPr/>
          <w:p>
            <w:pPr>
              <w:pStyle w:val="Compact"/>
            </w:pPr>
            <w:r>
              <w:t xml:space="preserve">0.001003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E-MOSFOA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450-A (giống A)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2,422.23</w:t>
            </w:r>
          </w:p>
        </w:tc>
        <w:tc>
          <w:tcPr/>
          <w:p>
            <w:pPr>
              <w:pStyle w:val="Compact"/>
            </w:pPr>
            <w:r>
              <w:t xml:space="preserve">0.02459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800-A (0.80×0.11; 40.42)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5,821.09</w:t>
            </w:r>
          </w:p>
        </w:tc>
        <w:tc>
          <w:tcPr/>
          <w:p>
            <w:pPr>
              <w:pStyle w:val="Compact"/>
            </w:pPr>
            <w:r>
              <w:t xml:space="preserve">0.003261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1200-C (1.20×0.15; 190.72)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28,836.83</w:t>
            </w:r>
          </w:p>
        </w:tc>
        <w:tc>
          <w:tcPr/>
          <w:p>
            <w:pPr>
              <w:pStyle w:val="Compact"/>
            </w:pPr>
            <w:r>
              <w:t xml:space="preserve">0.001003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Hiện trạng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600-B (0.60×0.09; 38)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39.0</w:t>
            </w:r>
          </w:p>
        </w:tc>
        <w:tc>
          <w:tcPr/>
          <w:p>
            <w:pPr>
              <w:pStyle w:val="Compact"/>
            </w:pPr>
            <w:r>
              <w:t xml:space="preserve">13,121.12</w:t>
            </w:r>
          </w:p>
        </w:tc>
        <w:tc>
          <w:tcPr/>
          <w:p>
            <w:pPr>
              <w:pStyle w:val="Compact"/>
            </w:pPr>
            <w:r>
              <w:t xml:space="preserve">0.04268</w:t>
            </w:r>
          </w:p>
        </w:tc>
      </w:tr>
    </w:tbl>
    <w:p>
      <w:pPr>
        <w:pStyle w:val="BodyText"/>
      </w:pPr>
      <w:r>
        <w:rPr>
          <w:b/>
          <w:bCs/>
        </w:rPr>
        <w:t xml:space="preserve">Nhận định (cải thiện lớn nhất toàn bộ nghiên cứu)</w:t>
      </w:r>
      <w:r>
        <w:t xml:space="preserve">: A/I giảm</w:t>
      </w:r>
      <w:r>
        <w:t xml:space="preserve"> </w:t>
      </w:r>
      <w:r>
        <w:rPr>
          <w:b/>
          <w:bCs/>
        </w:rPr>
        <w:t xml:space="preserve">81.5%</w:t>
      </w:r>
      <w:r>
        <w:rPr>
          <w:b/>
          <w:bCs/>
        </w:rPr>
        <w:t xml:space="preserve"> </w:t>
      </w:r>
      <w:r>
        <w:rPr>
          <w:b/>
          <w:bCs/>
        </w:rPr>
        <w:t xml:space="preserve">chi phí, 42.4% chuyển vị</w:t>
      </w:r>
      <w:r>
        <w:t xml:space="preserve">. B giảm 64.7%/88.4%; II giảm 55.6%/92.4%</w:t>
      </w:r>
      <w:r>
        <w:t xml:space="preserve"> </w:t>
      </w:r>
      <w:r>
        <w:t xml:space="preserve">(E-MOSFOA ưu tiên độ cứng hơn ở vùng thỏa hiệp). C/III cùng giảm 97.6%</w:t>
      </w:r>
      <w:r>
        <w:t xml:space="preserve"> </w:t>
      </w:r>
      <w:r>
        <w:t xml:space="preserve">chuyển vị, C rẻ hơn III 47.1%.</w:t>
      </w:r>
    </w:p>
    <w:bookmarkEnd w:id="30"/>
    <w:bookmarkStart w:id="31" w:name="bảng-12-kết-quả-mjp"/>
    <w:p>
      <w:pPr>
        <w:pStyle w:val="Heading3"/>
      </w:pPr>
      <w:r>
        <w:t xml:space="preserve">7.3. Bảng 12 — Kết quả MJP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Thiết kế</w:t>
            </w:r>
          </w:p>
        </w:tc>
        <w:tc>
          <w:tcPr/>
          <w:p>
            <w:pPr>
              <w:pStyle w:val="Compact"/>
            </w:pPr>
            <w:r>
              <w:t xml:space="preserve">Loại cọc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×</m:t>
              </m:r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(USD)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B-MOSFOA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300-A (0.30×0.06; 8.12)</w:t>
            </w:r>
          </w:p>
        </w:tc>
        <w:tc>
          <w:tcPr/>
          <w:p>
            <w:pPr>
              <w:pStyle w:val="Compact"/>
            </w:pPr>
            <w:r>
              <w:t xml:space="preserve">38.7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0.5×0.5</w:t>
            </w:r>
          </w:p>
        </w:tc>
        <w:tc>
          <w:tcPr/>
          <w:p>
            <w:pPr>
              <w:pStyle w:val="Compact"/>
            </w:pPr>
            <w:r>
              <w:t xml:space="preserve">5,350.32</w:t>
            </w:r>
          </w:p>
        </w:tc>
        <w:tc>
          <w:tcPr/>
          <w:p>
            <w:pPr>
              <w:pStyle w:val="Compact"/>
            </w:pPr>
            <w:r>
              <w:t xml:space="preserve">0.001019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300-A (0.30×0.06; 8.12)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0.8×0.5</w:t>
            </w:r>
          </w:p>
        </w:tc>
        <w:tc>
          <w:tcPr/>
          <w:p>
            <w:pPr>
              <w:pStyle w:val="Compact"/>
            </w:pPr>
            <w:r>
              <w:t xml:space="preserve">11,539.33</w:t>
            </w:r>
          </w:p>
        </w:tc>
        <w:tc>
          <w:tcPr/>
          <w:p>
            <w:pPr>
              <w:pStyle w:val="Compact"/>
            </w:pPr>
            <w:r>
              <w:t xml:space="preserve">0.00007103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1200-B (1.20×0.15; 163.16)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1.4×2.0</w:t>
            </w:r>
          </w:p>
        </w:tc>
        <w:tc>
          <w:tcPr/>
          <w:p>
            <w:pPr>
              <w:pStyle w:val="Compact"/>
            </w:pPr>
            <w:r>
              <w:t xml:space="preserve">126,865.66</w:t>
            </w:r>
          </w:p>
        </w:tc>
        <w:tc>
          <w:tcPr/>
          <w:p>
            <w:pPr>
              <w:pStyle w:val="Compact"/>
            </w:pPr>
            <w:r>
              <w:t xml:space="preserve">0.00003877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E-MOSFOA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300-A (0.30×0.06; 8.12)</w:t>
            </w:r>
          </w:p>
        </w:tc>
        <w:tc>
          <w:tcPr/>
          <w:p>
            <w:pPr>
              <w:pStyle w:val="Compact"/>
            </w:pPr>
            <w:r>
              <w:t xml:space="preserve">37.4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0.5×0.5</w:t>
            </w:r>
          </w:p>
        </w:tc>
        <w:tc>
          <w:tcPr/>
          <w:p>
            <w:pPr>
              <w:pStyle w:val="Compact"/>
            </w:pPr>
            <w:r>
              <w:t xml:space="preserve">6,935.46</w:t>
            </w:r>
          </w:p>
        </w:tc>
        <w:tc>
          <w:tcPr/>
          <w:p>
            <w:pPr>
              <w:pStyle w:val="Compact"/>
            </w:pPr>
            <w:r>
              <w:t xml:space="preserve">0.0005024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300-B (0.30×0.06; 10.56)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0.8×0.5</w:t>
            </w:r>
          </w:p>
        </w:tc>
        <w:tc>
          <w:tcPr/>
          <w:p>
            <w:pPr>
              <w:pStyle w:val="Compact"/>
            </w:pPr>
            <w:r>
              <w:t xml:space="preserve">12,866.98</w:t>
            </w:r>
          </w:p>
        </w:tc>
        <w:tc>
          <w:tcPr/>
          <w:p>
            <w:pPr>
              <w:pStyle w:val="Compact"/>
            </w:pPr>
            <w:r>
              <w:t xml:space="preserve">0.00007101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1200-C (1.20×0.15; 190.72)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1.4×2.0</w:t>
            </w:r>
          </w:p>
        </w:tc>
        <w:tc>
          <w:tcPr/>
          <w:p>
            <w:pPr>
              <w:pStyle w:val="Compact"/>
            </w:pPr>
            <w:r>
              <w:t xml:space="preserve">139,831.48</w:t>
            </w:r>
          </w:p>
        </w:tc>
        <w:tc>
          <w:tcPr/>
          <w:p>
            <w:pPr>
              <w:pStyle w:val="Compact"/>
            </w:pPr>
            <w:r>
              <w:t xml:space="preserve">0.00003877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Hiện trạng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500-B (0.50×0.08; 27.26)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0.7×1.0</w:t>
            </w:r>
          </w:p>
        </w:tc>
        <w:tc>
          <w:tcPr/>
          <w:p>
            <w:pPr>
              <w:pStyle w:val="Compact"/>
            </w:pPr>
            <w:r>
              <w:t xml:space="preserve">25,708.94</w:t>
            </w:r>
          </w:p>
        </w:tc>
        <w:tc>
          <w:tcPr/>
          <w:p>
            <w:pPr>
              <w:pStyle w:val="Compact"/>
            </w:pPr>
            <w:r>
              <w:t xml:space="preserve">0.0002244</w:t>
            </w:r>
          </w:p>
        </w:tc>
      </w:tr>
    </w:tbl>
    <w:p>
      <w:pPr>
        <w:pStyle w:val="BodyText"/>
      </w:pPr>
      <w:r>
        <w:rPr>
          <w:b/>
          <w:bCs/>
        </w:rPr>
        <w:t xml:space="preserve">Nhận định</w:t>
      </w:r>
      <w:r>
        <w:t xml:space="preserve">: A/I rẻ nhất nhưng chuyển vị</w:t>
      </w:r>
      <w:r>
        <w:t xml:space="preserve"> </w:t>
      </w:r>
      <w:r>
        <w:rPr>
          <w:b/>
          <w:bCs/>
        </w:rPr>
        <w:t xml:space="preserve">lớn hơn</w:t>
      </w:r>
      <w:r>
        <w:t xml:space="preserve"> </w:t>
      </w:r>
      <w:r>
        <w:t xml:space="preserve">hiện trạng (đánh</w:t>
      </w:r>
      <w:r>
        <w:t xml:space="preserve"> </w:t>
      </w:r>
      <w:r>
        <w:t xml:space="preserve">đổi độ cứng lấy chi phí — thiết kế</w:t>
      </w:r>
      <w:r>
        <w:t xml:space="preserve"> </w:t>
      </w:r>
      <w:r>
        <w:t xml:space="preserve">“cost-oriented”</w:t>
      </w:r>
      <w:r>
        <w:t xml:space="preserve">). B/II cải thiện</w:t>
      </w:r>
      <w:r>
        <w:t xml:space="preserve"> </w:t>
      </w:r>
      <w:r>
        <w:rPr>
          <w:b/>
          <w:bCs/>
        </w:rPr>
        <w:t xml:space="preserve">cả hai</w:t>
      </w:r>
      <w:r>
        <w:t xml:space="preserve"> </w:t>
      </w:r>
      <w:r>
        <w:t xml:space="preserve">mục tiêu: −55.1%/−68.3% (B), −50.0%/−68.4% (II) — thiết kế</w:t>
      </w:r>
      <w:r>
        <w:t xml:space="preserve"> </w:t>
      </w:r>
      <w:r>
        <w:t xml:space="preserve">“balanced”</w:t>
      </w:r>
      <w:r>
        <w:t xml:space="preserve">. C/III chuyển vị nhỏ nhất (−82.7%) nhưng chi phí gấp 4.93–5.44</w:t>
      </w:r>
      <w:r>
        <w:t xml:space="preserve"> </w:t>
      </w:r>
      <w:r>
        <w:t xml:space="preserve">lần hiện trạng (</w:t>
      </w:r>
      <w:r>
        <w:t xml:space="preserve">“stiffness-oriented”</w:t>
      </w:r>
      <w:r>
        <w:t xml:space="preserve">); C rẻ hơn III 9.3% ở cùng chuyển</w:t>
      </w:r>
      <w:r>
        <w:t xml:space="preserve"> </w:t>
      </w:r>
      <w:r>
        <w:t xml:space="preserve">vị.</w:t>
      </w:r>
    </w:p>
    <w:bookmarkEnd w:id="31"/>
    <w:bookmarkStart w:id="32" w:name="X05385f4c757e387ceef1b2fdd2197874aa507f9"/>
    <w:p>
      <w:pPr>
        <w:pStyle w:val="Heading3"/>
      </w:pPr>
      <w:r>
        <w:t xml:space="preserve">7.4. Bảng 13 — Chi phí tính toán, chất lượng Pareto, tính khả thi toàn archive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FEs</w:t>
            </w:r>
          </w:p>
        </w:tc>
        <w:tc>
          <w:tcPr/>
          <w:p>
            <w:pPr>
              <w:pStyle w:val="Compact"/>
            </w:pPr>
            <w:r>
              <w:t xml:space="preserve">Thời gian (h)</w:t>
            </w:r>
          </w:p>
        </w:tc>
        <w:tc>
          <w:tcPr/>
          <w:p>
            <w:pPr>
              <w:pStyle w:val="Compact"/>
            </w:pPr>
            <w:r>
              <w:t xml:space="preserve">Feasible/</w:t>
            </w: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B-MOSFOA</w:t>
            </w:r>
          </w:p>
        </w:tc>
        <w:tc>
          <w:tcPr/>
          <w:p>
            <w:pPr>
              <w:pStyle w:val="Compact"/>
            </w:pPr>
            <w:r>
              <w:t xml:space="preserve">30,100</w:t>
            </w:r>
          </w:p>
        </w:tc>
        <w:tc>
          <w:tcPr/>
          <w:p>
            <w:pPr>
              <w:pStyle w:val="Compact"/>
            </w:pPr>
            <w:r>
              <w:t xml:space="preserve">12.92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1.0833</w:t>
            </w:r>
          </w:p>
        </w:tc>
        <w:tc>
          <w:tcPr/>
          <w:p>
            <w:pPr>
              <w:pStyle w:val="Compact"/>
            </w:pPr>
            <w:r>
              <w:t xml:space="preserve">0.7854</w:t>
            </w:r>
          </w:p>
        </w:tc>
        <w:tc>
          <w:tcPr/>
          <w:p>
            <w:pPr>
              <w:pStyle w:val="Compact"/>
            </w:pPr>
            <w:r>
              <w:t xml:space="preserve">0.9908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E-MOSFOA</w:t>
            </w:r>
          </w:p>
        </w:tc>
        <w:tc>
          <w:tcPr/>
          <w:p>
            <w:pPr>
              <w:pStyle w:val="Compact"/>
            </w:pPr>
            <w:r>
              <w:t xml:space="preserve">30,100</w:t>
            </w:r>
          </w:p>
        </w:tc>
        <w:tc>
          <w:tcPr/>
          <w:p>
            <w:pPr>
              <w:pStyle w:val="Compact"/>
            </w:pPr>
            <w:r>
              <w:t xml:space="preserve">12.87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1.0833</w:t>
            </w:r>
          </w:p>
        </w:tc>
        <w:tc>
          <w:tcPr/>
          <w:p>
            <w:pPr>
              <w:pStyle w:val="Compact"/>
            </w:pPr>
            <w:r>
              <w:t xml:space="preserve">0.7854</w:t>
            </w:r>
          </w:p>
        </w:tc>
        <w:tc>
          <w:tcPr/>
          <w:p>
            <w:pPr>
              <w:pStyle w:val="Compact"/>
            </w:pPr>
            <w:r>
              <w:t xml:space="preserve">0.9908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B-MOSFOA</w:t>
            </w:r>
          </w:p>
        </w:tc>
        <w:tc>
          <w:tcPr/>
          <w:p>
            <w:pPr>
              <w:pStyle w:val="Compact"/>
            </w:pPr>
            <w:r>
              <w:t xml:space="preserve">30,100</w:t>
            </w:r>
          </w:p>
        </w:tc>
        <w:tc>
          <w:tcPr/>
          <w:p>
            <w:pPr>
              <w:pStyle w:val="Compact"/>
            </w:pPr>
            <w:r>
              <w:t xml:space="preserve">6.91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1.1450</w:t>
            </w:r>
          </w:p>
        </w:tc>
        <w:tc>
          <w:tcPr/>
          <w:p>
            <w:pPr>
              <w:pStyle w:val="Compact"/>
            </w:pPr>
            <w:r>
              <w:t xml:space="preserve">0.9971</w:t>
            </w:r>
          </w:p>
        </w:tc>
        <w:tc>
          <w:tcPr/>
          <w:p>
            <w:pPr>
              <w:pStyle w:val="Compact"/>
            </w:pPr>
            <w:r>
              <w:t xml:space="preserve">0.9486</w:t>
            </w:r>
          </w:p>
        </w:tc>
        <w:tc>
          <w:tcPr/>
          <w:p>
            <w:pPr>
              <w:pStyle w:val="Compact"/>
            </w:pPr>
            <w:r>
              <w:t xml:space="preserve">0.0495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E-MOSFOA</w:t>
            </w:r>
          </w:p>
        </w:tc>
        <w:tc>
          <w:tcPr/>
          <w:p>
            <w:pPr>
              <w:pStyle w:val="Compact"/>
            </w:pPr>
            <w:r>
              <w:t xml:space="preserve">30,100</w:t>
            </w:r>
          </w:p>
        </w:tc>
        <w:tc>
          <w:tcPr/>
          <w:p>
            <w:pPr>
              <w:pStyle w:val="Compact"/>
            </w:pPr>
            <w:r>
              <w:t xml:space="preserve">6.73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1.1450</w:t>
            </w:r>
          </w:p>
        </w:tc>
        <w:tc>
          <w:tcPr/>
          <w:p>
            <w:pPr>
              <w:pStyle w:val="Compact"/>
            </w:pPr>
            <w:r>
              <w:t xml:space="preserve">0.9971</w:t>
            </w:r>
          </w:p>
        </w:tc>
        <w:tc>
          <w:tcPr/>
          <w:p>
            <w:pPr>
              <w:pStyle w:val="Compact"/>
            </w:pPr>
            <w:r>
              <w:t xml:space="preserve">0.9486</w:t>
            </w:r>
          </w:p>
        </w:tc>
        <w:tc>
          <w:tcPr/>
          <w:p>
            <w:pPr>
              <w:pStyle w:val="Compact"/>
            </w:pPr>
            <w:r>
              <w:t xml:space="preserve">0.0495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MJP</w:t>
            </w:r>
          </w:p>
        </w:tc>
        <w:tc>
          <w:tcPr/>
          <w:p>
            <w:pPr>
              <w:pStyle w:val="Compact"/>
            </w:pPr>
            <w:r>
              <w:t xml:space="preserve">B-MOSFOA</w:t>
            </w:r>
          </w:p>
        </w:tc>
        <w:tc>
          <w:tcPr/>
          <w:p>
            <w:pPr>
              <w:pStyle w:val="Compact"/>
            </w:pPr>
            <w:r>
              <w:t xml:space="preserve">30,100</w:t>
            </w:r>
          </w:p>
        </w:tc>
        <w:tc>
          <w:tcPr/>
          <w:p>
            <w:pPr>
              <w:pStyle w:val="Compact"/>
            </w:pPr>
            <w:r>
              <w:t xml:space="preserve">4.32</w:t>
            </w:r>
          </w:p>
        </w:tc>
        <w:tc>
          <w:tcPr/>
          <w:p>
            <w:pPr>
              <w:pStyle w:val="Compact"/>
            </w:pPr>
            <w:r>
              <w:t xml:space="preserve">80/80</w:t>
            </w:r>
          </w:p>
        </w:tc>
        <w:tc>
          <w:tcPr/>
          <w:p>
            <w:pPr>
              <w:pStyle w:val="Compact"/>
            </w:pPr>
            <w:r>
              <w:t xml:space="preserve">1.1836</w:t>
            </w:r>
          </w:p>
        </w:tc>
        <w:tc>
          <w:tcPr/>
          <w:p>
            <w:pPr>
              <w:pStyle w:val="Compact"/>
            </w:pPr>
            <w:r>
              <w:t xml:space="preserve">0.9930</w:t>
            </w:r>
          </w:p>
        </w:tc>
        <w:tc>
          <w:tcPr/>
          <w:p>
            <w:pPr>
              <w:pStyle w:val="Compact"/>
            </w:pPr>
            <w:r>
              <w:t xml:space="preserve">0.9955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E-MOSFOA</w:t>
            </w:r>
          </w:p>
        </w:tc>
        <w:tc>
          <w:tcPr/>
          <w:p>
            <w:pPr>
              <w:pStyle w:val="Compact"/>
            </w:pPr>
            <w:r>
              <w:t xml:space="preserve">30,100</w:t>
            </w:r>
          </w:p>
        </w:tc>
        <w:tc>
          <w:tcPr/>
          <w:p>
            <w:pPr>
              <w:pStyle w:val="Compact"/>
            </w:pPr>
            <w:r>
              <w:t xml:space="preserve">5.09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t xml:space="preserve">1.1735</w:t>
            </w:r>
          </w:p>
        </w:tc>
        <w:tc>
          <w:tcPr/>
          <w:p>
            <w:pPr>
              <w:pStyle w:val="Compact"/>
            </w:pPr>
            <w:r>
              <w:t xml:space="preserve">0.9795</w:t>
            </w:r>
          </w:p>
        </w:tc>
        <w:tc>
          <w:tcPr/>
          <w:p>
            <w:pPr>
              <w:pStyle w:val="Compact"/>
            </w:pPr>
            <w:r>
              <w:t xml:space="preserve">0.9955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luận bắt buộc giữ nguyên tinh thần</w:t>
      </w:r>
      <w:r>
        <w:t xml:space="preserve">:</w:t>
      </w:r>
      <w:r>
        <w:t xml:space="preserve"> </w:t>
      </w:r>
      <w:r>
        <w:rPr>
          <w:i/>
          <w:iCs/>
        </w:rPr>
        <w:t xml:space="preserve">“Toàn bộ 6 archive cuối đều</w:t>
      </w:r>
      <w:r>
        <w:rPr>
          <w:i/>
          <w:iCs/>
        </w:rPr>
        <w:t xml:space="preserve"> </w:t>
      </w:r>
      <w:r>
        <w:rPr>
          <w:i/>
          <w:iCs/>
        </w:rPr>
        <w:t xml:space="preserve">thỏa mãn các điều kiện cứng và giới hạn sức chịu tải đã triển khai; tỷ</w:t>
      </w:r>
      <w:r>
        <w:rPr>
          <w:i/>
          <w:iCs/>
        </w:rPr>
        <w:t xml:space="preserve"> </w:t>
      </w:r>
      <w:r>
        <w:rPr>
          <w:i/>
          <w:iCs/>
        </w:rPr>
        <w:t xml:space="preserve">số khống chế tiệm cận nhưng không vượt quá 1.0 — utilization lớn nhất là</w:t>
      </w:r>
      <w:r>
        <w:rPr>
          <w:i/>
          <w:iCs/>
        </w:rPr>
        <w:t xml:space="preserve"> </w:t>
      </w:r>
      <w:r>
        <w:rPr>
          <w:i/>
          <w:iCs/>
        </w:rPr>
        <w:t xml:space="preserve">0.9971 (uốn cọc, MD).”</w:t>
      </w:r>
      <w:r>
        <w:t xml:space="preserve"> </w:t>
      </w:r>
      <w:r>
        <w:t xml:space="preserve">Vì mỗi cặp thuật toán-case chỉ có 1 lần chạy kỹ</w:t>
      </w:r>
      <w:r>
        <w:t xml:space="preserve"> </w:t>
      </w:r>
      <w:r>
        <w:t xml:space="preserve">thuật đầy đủ, thời gian và HV mang tính</w:t>
      </w:r>
      <w:r>
        <w:t xml:space="preserve"> </w:t>
      </w:r>
      <w:r>
        <w:rPr>
          <w:b/>
          <w:bCs/>
        </w:rPr>
        <w:t xml:space="preserve">mô tả</w:t>
      </w:r>
      <w:r>
        <w:t xml:space="preserve">, không phải bằng</w:t>
      </w:r>
      <w:r>
        <w:t xml:space="preserve"> </w:t>
      </w:r>
      <w:r>
        <w:t xml:space="preserve">chứng vượt trội thống kê.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3f658ff18f5e692e27a7f0f5023c2ab1d55ac0c"/>
    <w:p>
      <w:pPr>
        <w:pStyle w:val="Heading2"/>
      </w:pPr>
      <w:r>
        <w:t xml:space="preserve">8. Giới hạn và hướng phát triển (dữ liệu cho mục 3.9 — trích nguyên bài báo Q3, Kết luận)</w:t>
      </w:r>
    </w:p>
    <w:p>
      <w:pPr>
        <w:pStyle w:val="FirstParagraph"/>
      </w:pPr>
      <w:r>
        <w:rPr>
          <w:b/>
          <w:bCs/>
        </w:rPr>
        <w:t xml:space="preserve">Giới hạn 1</w:t>
      </w:r>
      <w:r>
        <w:t xml:space="preserve">: sức chịu tải và khống chế ngang của cọc vẫn dùng mô hình</w:t>
      </w:r>
      <w:r>
        <w:t xml:space="preserve"> </w:t>
      </w:r>
      <w:r>
        <w:t xml:space="preserve">code-based/equivalent-support (gối tựa tương đương) — chưa mô tả đầy đủ</w:t>
      </w:r>
      <w:r>
        <w:t xml:space="preserve"> </w:t>
      </w:r>
      <w:r>
        <w:t xml:space="preserve">tương tác đất–cọc phi tuyến hay hiệu ứng nhóm cọc qua nền.</w:t>
      </w:r>
    </w:p>
    <w:p>
      <w:pPr>
        <w:pStyle w:val="BodyText"/>
      </w:pPr>
      <w:r>
        <w:rPr>
          <w:b/>
          <w:bCs/>
        </w:rPr>
        <w:t xml:space="preserve">Giới hạn 2</w:t>
      </w:r>
      <w:r>
        <w:t xml:space="preserve">: đánh giá mọi ứng viên bằng SAP2000 có chi phí tính toán</w:t>
      </w:r>
      <w:r>
        <w:t xml:space="preserve"> </w:t>
      </w:r>
      <w:r>
        <w:t xml:space="preserve">lớn (BD: 12.9h, MD: 6.8h, MJP: 4.3–5.1h cho 30,100 FEs).</w:t>
      </w:r>
    </w:p>
    <w:p>
      <w:pPr>
        <w:pStyle w:val="BodyText"/>
      </w:pPr>
      <w:r>
        <w:rPr>
          <w:b/>
          <w:bCs/>
        </w:rPr>
        <w:t xml:space="preserve">Hướng phát triển</w:t>
      </w:r>
      <w:r>
        <w:t xml:space="preserve"> </w:t>
      </w:r>
      <w:r>
        <w:t xml:space="preserve">(đã nêu trong bài báo): mô hình tương tác đất–cọc</w:t>
      </w:r>
      <w:r>
        <w:t xml:space="preserve"> </w:t>
      </w:r>
      <w:r>
        <w:t xml:space="preserve">độ trung thực cao hơn; giảm số lần đánh giá SAP2000 đầy đủ bằng surrogate</w:t>
      </w:r>
      <w:r>
        <w:t xml:space="preserve"> </w:t>
      </w:r>
      <w:r>
        <w:t xml:space="preserve">model/adaptive sampling; đơn giá tham chiếu cần thay bằng báo giá thực</w:t>
      </w:r>
      <w:r>
        <w:t xml:space="preserve"> </w:t>
      </w:r>
      <w:r>
        <w:t xml:space="preserve">tế theo dự án/thời điểm khi áp dụng thực hành.</w:t>
      </w:r>
    </w:p>
    <w:p>
      <w:r>
        <w:pict>
          <v:rect style="width:0;height:1.5pt" o:hralign="center" o:hrstd="t" o:hr="t"/>
        </w:pict>
      </w:r>
    </w:p>
    <w:bookmarkEnd w:id="34"/>
    <w:bookmarkStart w:id="35" w:name="X45d99526eb153ada755ce677b66ac53764e42a9"/>
    <w:p>
      <w:pPr>
        <w:pStyle w:val="Heading2"/>
      </w:pPr>
      <w:r>
        <w:t xml:space="preserve">9. Những gì không nên làm (áp dụng riêng cho CĐ3)</w:t>
      </w:r>
    </w:p>
    <w:p>
      <w:pPr>
        <w:pStyle w:val="Compact"/>
        <w:numPr>
          <w:ilvl w:val="0"/>
          <w:numId w:val="1009"/>
        </w:numPr>
      </w:pPr>
      <w:r>
        <w:t xml:space="preserve">Không biến CĐ3 thành</w:t>
      </w:r>
      <w:r>
        <w:t xml:space="preserve"> </w:t>
      </w:r>
      <w:r>
        <w:t xml:space="preserve">“case study”</w:t>
      </w:r>
      <w:r>
        <w:t xml:space="preserve"> </w:t>
      </w:r>
      <w:r>
        <w:t xml:space="preserve">vài trang — phải đầy đủ chuỗi: MOSFOA</w:t>
      </w:r>
      <w:r>
        <w:t xml:space="preserve"> </w:t>
      </w:r>
      <w:r>
        <w:t xml:space="preserve">→ bài toán thực → FEM → tiêu chuẩn → Pareto → quyết định thiết kế.</w:t>
      </w:r>
    </w:p>
    <w:p>
      <w:pPr>
        <w:pStyle w:val="Compact"/>
        <w:numPr>
          <w:ilvl w:val="0"/>
          <w:numId w:val="1009"/>
        </w:numPr>
      </w:pPr>
      <w:r>
        <w:t xml:space="preserve">Không đưa tất cả kết cấu cảng vào phạm vi luận án — BD/MD/MJP là bộ</w:t>
      </w:r>
      <w:r>
        <w:t xml:space="preserve"> </w:t>
      </w:r>
      <w:r>
        <w:t xml:space="preserve">case chính; các đối tượng khác (kể cả Track B) chỉ là thảo luận mở</w:t>
      </w:r>
      <w:r>
        <w:t xml:space="preserve"> </w:t>
      </w:r>
      <w:r>
        <w:t xml:space="preserve">rộng (mục 3.9.x), không phải kết quả chính.</w:t>
      </w:r>
    </w:p>
    <w:p>
      <w:pPr>
        <w:pStyle w:val="Compact"/>
        <w:numPr>
          <w:ilvl w:val="0"/>
          <w:numId w:val="1009"/>
        </w:numPr>
      </w:pPr>
      <w:r>
        <w:t xml:space="preserve">Không để mục 3.3.x (bài #5, case độc lập) và 3.9.x (các công bố bổ trợ)</w:t>
      </w:r>
      <w:r>
        <w:t xml:space="preserve"> </w:t>
      </w:r>
      <w:r>
        <w:t xml:space="preserve">lấn át 3 mục kết quả chính (3.1–3.3) — giữ tỷ trọng hợp lý.</w:t>
      </w:r>
    </w:p>
    <w:p>
      <w:pPr>
        <w:pStyle w:val="Compact"/>
        <w:numPr>
          <w:ilvl w:val="0"/>
          <w:numId w:val="1009"/>
        </w:numPr>
      </w:pPr>
      <w:r>
        <w:t xml:space="preserve">Không làm tròn/phóng đại số liệu — dùng đúng các con số ở mục 7.</w:t>
      </w:r>
    </w:p>
    <w:p>
      <w:r>
        <w:pict>
          <v:rect style="width:0;height:1.5pt" o:hralign="center" o:hrstd="t" o:hr="t"/>
        </w:pict>
      </w:r>
    </w:p>
    <w:bookmarkEnd w:id="35"/>
    <w:bookmarkStart w:id="36" w:name="X3812ff8c2cc0eeb5aed104bdacaae955b4428fc"/>
    <w:p>
      <w:pPr>
        <w:pStyle w:val="Heading2"/>
      </w:pPr>
      <w:r>
        <w:t xml:space="preserve">10. Checklist tự kiểm tra trước khi hoàn thành bản thảo</w:t>
      </w:r>
    </w:p>
    <w:p>
      <w:pPr>
        <w:pStyle w:val="Compact"/>
        <w:numPr>
          <w:ilvl w:val="0"/>
          <w:numId w:val="1010"/>
        </w:numPr>
      </w:pPr>
      <w:r>
        <w:t xml:space="preserve">Không quá 80 trang, đủ 03 chương.</w:t>
      </w:r>
    </w:p>
    <w:p>
      <w:pPr>
        <w:pStyle w:val="Compact"/>
        <w:numPr>
          <w:ilvl w:val="0"/>
          <w:numId w:val="1011"/>
        </w:numPr>
      </w:pPr>
      <w:r>
        <w:t xml:space="preserve">Đầy đủ Bảng 6–13 (hoặc bảng mở rộng tương đương) — mục 5–7.</w:t>
      </w:r>
    </w:p>
    <w:p>
      <w:pPr>
        <w:pStyle w:val="Compact"/>
        <w:numPr>
          <w:ilvl w:val="0"/>
          <w:numId w:val="1012"/>
        </w:numPr>
      </w:pPr>
      <w:r>
        <w:t xml:space="preserve">Có mục 3.3.x (kiểm chứng case độc lập, bài #5) và 3.9.x (thảo</w:t>
      </w:r>
      <w:r>
        <w:t xml:space="preserve"> </w:t>
      </w:r>
      <w:r>
        <w:t xml:space="preserve">luận các công bố #1/#3/#4/#6/#7).</w:t>
      </w:r>
    </w:p>
    <w:p>
      <w:pPr>
        <w:pStyle w:val="Compact"/>
        <w:numPr>
          <w:ilvl w:val="0"/>
          <w:numId w:val="1013"/>
        </w:numPr>
      </w:pPr>
      <w:r>
        <w:t xml:space="preserve">Bảy câu hỏi nghiên cứu (mục 4) đều được trả lời trong Kết luận.</w:t>
      </w:r>
    </w:p>
    <w:p>
      <w:pPr>
        <w:pStyle w:val="Compact"/>
        <w:numPr>
          <w:ilvl w:val="0"/>
          <w:numId w:val="1014"/>
        </w:numPr>
      </w:pPr>
      <w:r>
        <w:t xml:space="preserve">Giữ đúng tinh thần</w:t>
      </w:r>
      <w:r>
        <w:t xml:space="preserve"> </w:t>
      </w:r>
      <w:r>
        <w:t xml:space="preserve">“utilization tiệm cận nhưng không vượt 1.0”</w:t>
      </w:r>
      <w:r>
        <w:t xml:space="preserve">,</w:t>
      </w:r>
      <w:r>
        <w:t xml:space="preserve"> </w:t>
      </w:r>
      <w:r>
        <w:t xml:space="preserve">không phóng đại thành</w:t>
      </w:r>
      <w:r>
        <w:t xml:space="preserve"> </w:t>
      </w:r>
      <w:r>
        <w:t xml:space="preserve">“luôn an toàn tuyệt đối”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Có Mở đầu, Kết luận (bàn luận) và kiến nghị, Tài liệu tham khảo.</w:t>
      </w:r>
    </w:p>
    <w:p>
      <w:r>
        <w:pict>
          <v:rect style="width:0;height:1.5pt" o:hralign="center" o:hrstd="t" o:hr="t"/>
        </w:pict>
      </w:r>
    </w:p>
    <w:bookmarkEnd w:id="36"/>
    <w:bookmarkStart w:id="38" w:name="Xd9fdada944d73b41ec315a75f6b933075c232a7"/>
    <w:p>
      <w:pPr>
        <w:pStyle w:val="Heading2"/>
      </w:pPr>
      <w:r>
        <w:t xml:space="preserve">11. Nguồn tham chiếu (chỉ cần khi cần tra cứu sâu hơn)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02_MOSFOA__VN.docx</w:t>
      </w:r>
      <w:r>
        <w:t xml:space="preserve"> </w:t>
      </w:r>
      <w:r>
        <w:t xml:space="preserve">— bản nháp bài báo lõi; dùng nếu cần Hình 8–10</w:t>
      </w:r>
      <w:r>
        <w:t xml:space="preserve"> </w:t>
      </w:r>
      <w:r>
        <w:t xml:space="preserve">(ảnh mô hình FEM, mặt cắt kết cấu, biểu đồ HV/Pareto) hoặc Appendix</w:t>
      </w:r>
      <w:r>
        <w:t xml:space="preserve"> </w:t>
      </w:r>
      <w:r>
        <w:t xml:space="preserve">(workflow tổng thể, bảng độ nhạy tham số chi tiết).</w:t>
      </w:r>
      <w:r>
        <w:t xml:space="preserve"> </w:t>
      </w:r>
      <w:r>
        <w:rPr>
          <w:b/>
          <w:bCs/>
        </w:rPr>
        <w:t xml:space="preserve">Cần đối chiếu</w:t>
      </w:r>
      <w:r>
        <w:rPr>
          <w:b/>
          <w:bCs/>
        </w:rPr>
        <w:t xml:space="preserve"> </w:t>
      </w:r>
      <w:r>
        <w:rPr>
          <w:b/>
          <w:bCs/>
        </w:rPr>
        <w:t xml:space="preserve">với bản in chính thức</w:t>
      </w:r>
      <w:r>
        <w:t xml:space="preserve"> </w:t>
      </w:r>
      <w:r>
        <w:t xml:space="preserve">(xem trích dẫn dưới) trước khi khóa bản thảo,</w:t>
      </w:r>
      <w:r>
        <w:t xml:space="preserve"> </w:t>
      </w:r>
      <w:r>
        <w:t xml:space="preserve">vì tên bài đã đổi so với bản nháp.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De_cuong_4_san_pham_xuyen_suot_luan_an_MOSFOA.md</w:t>
      </w:r>
      <w:r>
        <w:t xml:space="preserve"> </w:t>
      </w:r>
      <w:r>
        <w:t xml:space="preserve">— đề cương tổng thể</w:t>
      </w:r>
      <w:r>
        <w:t xml:space="preserve"> </w:t>
      </w:r>
      <w:r>
        <w:t xml:space="preserve">đã chốt (Phần I là nguồn gốc của file này).</w:t>
      </w:r>
    </w:p>
    <w:bookmarkStart w:id="37" w:name="X48a47b32d43255335686c4a3491c41542be629c"/>
    <w:p>
      <w:pPr>
        <w:pStyle w:val="Heading3"/>
      </w:pPr>
      <w:r>
        <w:t xml:space="preserve">Trích dẫn chính thức đã xác nhận (dùng cho Tài liệu tham khảo của CĐ3)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#2 — Bài báo lõi</w:t>
      </w:r>
      <w:r>
        <w:t xml:space="preserve">: Do-Quang, T., Vu-Huu, T. and Le, C.T. (2026),</w:t>
      </w:r>
      <w:r>
        <w:t xml:space="preserve"> </w:t>
      </w:r>
      <w:r>
        <w:t xml:space="preserve">“Multi-objective Optimization of Marine Structures Using an Enhanced</w:t>
      </w:r>
      <w:r>
        <w:t xml:space="preserve"> </w:t>
      </w:r>
      <w:r>
        <w:t xml:space="preserve">Starfish Algorithm”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Institution of Civil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Engineers — Structures and Buildings</w:t>
      </w:r>
      <w:r>
        <w:t xml:space="preserve">.</w:t>
      </w:r>
      <w:r>
        <w:t xml:space="preserve"> </w:t>
      </w:r>
      <w:r>
        <w:t xml:space="preserve">https://doi.org/10.1680/jstbu.26.00159 (Article ID STBU-2026-159-R2;</w:t>
      </w:r>
      <w:r>
        <w:t xml:space="preserve"> </w:t>
      </w:r>
      <w:r>
        <w:t xml:space="preserve">Accepted 19/08/2026).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#1 — dùng cho mục 3.9.x (thảo luận tổng quát hóa)</w:t>
      </w:r>
      <w:r>
        <w:t xml:space="preserve">: Quang-Thanh</w:t>
      </w:r>
      <w:r>
        <w:t xml:space="preserve"> </w:t>
      </w:r>
      <w:r>
        <w:t xml:space="preserve">Do, Quoc-Hoan Pham, T. Vu-Huu and Thanh Cuong-Le (2026),</w:t>
      </w:r>
      <w:r>
        <w:t xml:space="preserve"> </w:t>
      </w:r>
      <w:r>
        <w:t xml:space="preserve">“Efficient</w:t>
      </w:r>
      <w:r>
        <w:t xml:space="preserve"> </w:t>
      </w:r>
      <w:r>
        <w:t xml:space="preserve">Design of Single Mooring Buoy Lines: A MOMSA-Based Approach”</w:t>
      </w:r>
      <w:r>
        <w:t xml:space="preserve">,</w:t>
      </w:r>
      <w:r>
        <w:t xml:space="preserve"> </w:t>
      </w:r>
      <w:r>
        <w:rPr>
          <w:i/>
          <w:iCs/>
        </w:rPr>
        <w:t xml:space="preserve">4th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Structural Health Monitoring and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Structures (SHM&amp;ES 2025)</w:t>
      </w:r>
      <w:r>
        <w:t xml:space="preserve">,</w:t>
      </w:r>
      <w:r>
        <w:t xml:space="preserve"> </w:t>
      </w:r>
      <w:r>
        <w:rPr>
          <w:i/>
          <w:iCs/>
        </w:rPr>
        <w:t xml:space="preserve">Lecture Notes in Civil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 Vol. 747, pp. 295–302, Springer, Cham.</w:t>
      </w:r>
      <w:r>
        <w:t xml:space="preserve"> </w:t>
      </w:r>
      <w:r>
        <w:t xml:space="preserve">https://doi.org/10.1007/978-3-032-04645-1_35.</w:t>
      </w:r>
      <w:r>
        <w:t xml:space="preserve"> </w:t>
      </w:r>
      <w:r>
        <w:rPr>
          <w:b/>
          <w:bCs/>
        </w:rPr>
        <w:t xml:space="preserve">Đã công bố.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#3 — dùng cho mục 3.9.x (thảo luận tổng quát hóa)</w:t>
      </w:r>
      <w:r>
        <w:t xml:space="preserve">: Đỗ Quang</w:t>
      </w:r>
      <w:r>
        <w:t xml:space="preserve"> </w:t>
      </w:r>
      <w:r>
        <w:t xml:space="preserve">Thành, Vũ Hữu Trường và Lê Thanh Cường (2026),</w:t>
      </w:r>
      <w:r>
        <w:t xml:space="preserve"> </w:t>
      </w:r>
      <w:r>
        <w:t xml:space="preserve">“Tối ưu thể tích bê</w:t>
      </w:r>
      <w:r>
        <w:t xml:space="preserve"> </w:t>
      </w:r>
      <w:r>
        <w:t xml:space="preserve">tông kết cấu tường chắn phía sau cầu tàu bằng thuật toán tối ưu Sao</w:t>
      </w:r>
      <w:r>
        <w:t xml:space="preserve"> </w:t>
      </w:r>
      <w:r>
        <w:t xml:space="preserve">biển (SFOA)”</w:t>
      </w:r>
      <w:r>
        <w:t xml:space="preserve"> </w:t>
      </w:r>
      <w:r>
        <w:t xml:space="preserve">[</w:t>
      </w:r>
      <w:r>
        <w:t xml:space="preserve">“Concrete Volume Optimization of the Retaining Wall</w:t>
      </w:r>
      <w:r>
        <w:t xml:space="preserve"> </w:t>
      </w:r>
      <w:r>
        <w:t xml:space="preserve">Behind the Jetty Using the Starfish Optimization Algorithm (SFOA)”</w:t>
      </w:r>
      <w:r>
        <w:t xml:space="preserve">],</w:t>
      </w:r>
      <w:r>
        <w:t xml:space="preserve"> </w:t>
      </w:r>
      <w:r>
        <w:rPr>
          <w:i/>
          <w:iCs/>
        </w:rPr>
        <w:t xml:space="preserve">Tạp chí Xây dựng</w:t>
      </w:r>
      <w:r>
        <w:t xml:space="preserve">, Bộ Xây dựng, ISSN 2734-9888, mục</w:t>
      </w:r>
      <w:r>
        <w:t xml:space="preserve"> </w:t>
      </w:r>
      <w:r>
        <w:t xml:space="preserve">“Nghiên cứu khoa</w:t>
      </w:r>
      <w:r>
        <w:t xml:space="preserve"> </w:t>
      </w:r>
      <w:r>
        <w:t xml:space="preserve">học”</w:t>
      </w:r>
      <w:r>
        <w:t xml:space="preserve">, số tháng 10/2026.</w:t>
      </w:r>
      <w:r>
        <w:t xml:space="preserve"> </w:t>
      </w:r>
      <w:r>
        <w:rPr>
          <w:b/>
          <w:bCs/>
        </w:rPr>
        <w:t xml:space="preserve">Dự kiến đăng tháng 10/2026.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#4 — dùng cho mục 3.9.x (thảo luận tổng quát hóa)</w:t>
      </w:r>
      <w:r>
        <w:t xml:space="preserve">:</w:t>
      </w:r>
      <w:r>
        <w:t xml:space="preserve"> </w:t>
      </w:r>
      <w:r>
        <w:t xml:space="preserve">“Multi-</w:t>
      </w:r>
      <w:r>
        <w:t xml:space="preserve"> </w:t>
      </w:r>
      <w:r>
        <w:t xml:space="preserve">objective Optimization of I-section Steel Frames under TCVN</w:t>
      </w:r>
      <w:r>
        <w:t xml:space="preserve"> </w:t>
      </w:r>
      <w:r>
        <w:t xml:space="preserve">5575:2024: A Comparative Study of Metaheuristic Algorithms”</w:t>
      </w:r>
      <w:r>
        <w:t xml:space="preserve">, 9th</w:t>
      </w:r>
      <w:r>
        <w:t xml:space="preserve"> </w:t>
      </w:r>
      <w:r>
        <w:t xml:space="preserve">International Conference on Engineering Research and Applications</w:t>
      </w:r>
      <w:r>
        <w:t xml:space="preserve"> </w:t>
      </w:r>
      <w:r>
        <w:t xml:space="preserve">(ICERA 2026), dự kiến xuất bản trong</w:t>
      </w:r>
      <w:r>
        <w:t xml:space="preserve"> </w:t>
      </w:r>
      <w:r>
        <w:rPr>
          <w:i/>
          <w:iCs/>
        </w:rPr>
        <w:t xml:space="preserve">Lecture Notes in Civil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 Springer.</w:t>
      </w:r>
      <w:r>
        <w:t xml:space="preserve"> </w:t>
      </w:r>
      <w:r>
        <w:rPr>
          <w:b/>
          <w:bCs/>
        </w:rPr>
        <w:t xml:space="preserve">Đang triển khai/dự kiến gửi — chưa nộp.</w:t>
      </w:r>
      <w:r>
        <w:t xml:space="preserve"> </w:t>
      </w:r>
      <w:r>
        <w:t xml:space="preserve">Vì chưa nộp, mục 3.9.x chỉ nên nêu đây là kinh nghiệm/thử nghiệm đang</w:t>
      </w:r>
      <w:r>
        <w:t xml:space="preserve"> </w:t>
      </w:r>
      <w:r>
        <w:t xml:space="preserve">thực hiện của NCS, không trích dẫn như một công bố đã hoàn tất.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#5, #6, #7 — dùng cho mục 3.3.x và 3.9.x</w:t>
      </w:r>
      <w:r>
        <w:t xml:space="preserve">: cả ba đều</w:t>
      </w:r>
      <w:r>
        <w:t xml:space="preserve"> </w:t>
      </w:r>
      <w:r>
        <w:rPr>
          <w:b/>
          <w:bCs/>
        </w:rPr>
        <w:t xml:space="preserve">đang triển</w:t>
      </w:r>
      <w:r>
        <w:rPr>
          <w:b/>
          <w:bCs/>
        </w:rPr>
        <w:t xml:space="preserve"> </w:t>
      </w:r>
      <w:r>
        <w:rPr>
          <w:b/>
          <w:bCs/>
        </w:rPr>
        <w:t xml:space="preserve">khai</w:t>
      </w:r>
      <w:r>
        <w:t xml:space="preserve"> </w:t>
      </w:r>
      <w:r>
        <w:t xml:space="preserve">(chưa nộp/chưa có tạp chí đích chính thức theo</w:t>
      </w:r>
      <w:r>
        <w:t xml:space="preserve"> </w:t>
      </w:r>
      <w:r>
        <w:rPr>
          <w:rStyle w:val="VerbatimChar"/>
        </w:rPr>
        <w:t xml:space="preserve">Danh_muc_cong_bo_khoa_hoc_7_bai.md</w:t>
      </w:r>
      <w:r>
        <w:t xml:space="preserve">):</w:t>
      </w:r>
    </w:p>
    <w:p>
      <w:pPr>
        <w:pStyle w:val="Compact"/>
        <w:numPr>
          <w:ilvl w:val="1"/>
          <w:numId w:val="1018"/>
        </w:numPr>
      </w:pPr>
      <w:r>
        <w:t xml:space="preserve">#5</w:t>
      </w:r>
      <w:r>
        <w:t xml:space="preserve"> </w:t>
      </w:r>
      <w:r>
        <w:t xml:space="preserve">“TỐI ƯU ĐA MỤC TIÊU TIẾT DIỆN HỆ CỌC CẦU TÀU CONTAINER 100.000</w:t>
      </w:r>
      <w:r>
        <w:t xml:space="preserve"> </w:t>
      </w:r>
      <w:r>
        <w:t xml:space="preserve">DWT: ĐỐI SÁNH THUẬT TOÁN MOFDA VÀ MOSFOA”</w:t>
      </w:r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#6</w:t>
      </w:r>
      <w:r>
        <w:t xml:space="preserve"> </w:t>
      </w:r>
      <w:r>
        <w:t xml:space="preserve">“ỨNG DỤNG THUẬT TOÁN MOSFOA TỐI ƯU ĐA MỤC TIÊU HỆ CỌC CẦU TÀU:</w:t>
      </w:r>
      <w:r>
        <w:t xml:space="preserve"> </w:t>
      </w:r>
      <w:r>
        <w:t xml:space="preserve">KIỂM CHỨNG TRÊN HAI CÔNG TRÌNH CÓ QUY MÔ VÀ ĐIỀU KIỆN ĐỊA KỸ THUẬT</w:t>
      </w:r>
      <w:r>
        <w:t xml:space="preserve"> </w:t>
      </w:r>
      <w:r>
        <w:t xml:space="preserve">KHÁC NHAU”</w:t>
      </w:r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#7</w:t>
      </w:r>
      <w:r>
        <w:t xml:space="preserve"> </w:t>
      </w:r>
      <w:r>
        <w:t xml:space="preserve">“ẢNH HƯỞNG CỦA QUY MÔ, TẢI TRỌNG VÀ ĐIỀU KIỆN ĐỊA KỸ THUẬT ĐẾN</w:t>
      </w:r>
      <w:r>
        <w:t xml:space="preserve"> </w:t>
      </w:r>
      <w:r>
        <w:t xml:space="preserve">TỐI ƯU HỆ CỌC CẦU TÀU SỬ DỤNG THUẬT TOÁN MOSFOA”</w:t>
      </w:r>
      <w:r>
        <w:t xml:space="preserve">.</w:t>
      </w:r>
      <w:r>
        <w:t xml:space="preserve"> </w:t>
      </w:r>
      <w:r>
        <w:t xml:space="preserve">Vì cả ba đang triển khai, mục 3.3.x (kiểm chứng case độc lập bằng #5)</w:t>
      </w:r>
      <w:r>
        <w:t xml:space="preserve"> </w:t>
      </w:r>
      <w:r>
        <w:t xml:space="preserve">cần được viết ở thì hiện tại/dự kiến, không khẳng định như kết quả đã</w:t>
      </w:r>
      <w:r>
        <w:t xml:space="preserve"> </w:t>
      </w:r>
      <w:r>
        <w:t xml:space="preserve">công bố, cho đến khi có xác nhận nộp/chấp nhận tương tự #2 và #3.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2026-09-10T14:21:31Z</dcterms:created>
  <dcterms:modified xsi:type="dcterms:W3CDTF">2026-09-10T14:21:31Z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