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TỐI ƯU HÓA ĐA MỤC TIÊU TIẾT DIỆN CỌC CẦU TÀU CONTAINER 100.000 DWT BẰNG THUẬT TOÁN MOFDA</w:t>
      </w:r>
    </w:p>
    <w:p>
      <w:pPr>
        <w:spacing w:after="80" w:before="60"/>
        <w:jc w:val="center"/>
      </w:pPr>
      <w:r>
        <w:rPr>
          <w:rFonts w:ascii="Times New Roman" w:cs="Times New Roman" w:eastAsia="Times New Roman" w:hAnsi="Times New Roman"/>
          <w:sz w:val="26"/>
          <w:szCs w:val="26"/>
        </w:rPr>
        <w:t xml:space="preserve">MULTI-OBJECTIVE OPTIMIZATION OF PILE CROSS-SECTIONS FOR A 100,000-DWT CONTAINER WHARF USING THE MOFDA ALGORITHM</w:t>
      </w:r>
    </w:p>
    <w:p>
      <w:pPr>
        <w:spacing w:after="40" w:before="40"/>
        <w:jc w:val="center"/>
      </w:pPr>
      <w:r>
        <w:rPr>
          <w:rFonts w:ascii="Times New Roman" w:cs="Times New Roman" w:eastAsia="Times New Roman" w:hAnsi="Times New Roman"/>
          <w:b/>
          <w:bCs/>
          <w:sz w:val="24"/>
          <w:szCs w:val="24"/>
        </w:rPr>
        <w:t xml:space="preserve">[Họ và tên tác giả]</w:t>
      </w:r>
      <w:r>
        <w:rPr>
          <w:rFonts w:ascii="Times New Roman" w:cs="Times New Roman" w:eastAsia="Times New Roman" w:hAnsi="Times New Roman"/>
          <w:b/>
          <w:bCs/>
          <w:sz w:val="24"/>
          <w:szCs w:val="24"/>
          <w:vertAlign w:val="superscript"/>
        </w:rPr>
        <w:t xml:space="preserve">1*</w:t>
      </w:r>
    </w:p>
    <w:p>
      <w:pPr>
        <w:spacing w:after="40" w:before="40"/>
        <w:jc w:val="center"/>
      </w:pPr>
      <w:r>
        <w:rPr>
          <w:rFonts w:ascii="Times New Roman" w:cs="Times New Roman" w:eastAsia="Times New Roman" w:hAnsi="Times New Roman"/>
          <w:i/>
          <w:iCs/>
          <w:sz w:val="24"/>
          <w:szCs w:val="24"/>
        </w:rPr>
        <w:t xml:space="preserve">1[Tên Khoa/Viện], [Tên trường/đơn vị công tác]</w:t>
      </w:r>
    </w:p>
    <w:p>
      <w:pPr>
        <w:spacing w:after="40" w:before="40"/>
        <w:jc w:val="center"/>
      </w:pPr>
      <w:r>
        <w:rPr>
          <w:rFonts w:ascii="Times New Roman" w:cs="Times New Roman" w:eastAsia="Times New Roman" w:hAnsi="Times New Roman"/>
          <w:i/>
          <w:iCs/>
          <w:sz w:val="24"/>
          <w:szCs w:val="24"/>
        </w:rPr>
        <w:t xml:space="preserve">*Email liên hệ: [điền địa chỉ email liên hệ chính thức của tác giả]</w:t>
      </w:r>
    </w:p>
    <w:p>
      <w:pPr>
        <w:spacing w:after="40" w:before="40"/>
        <w:jc w:val="center"/>
      </w:pPr>
      <w:r>
        <w:rPr>
          <w:rFonts w:ascii="Times New Roman" w:cs="Times New Roman" w:eastAsia="Times New Roman" w:hAnsi="Times New Roman"/>
          <w:i w:val="false"/>
          <w:iCs w:val="false"/>
          <w:sz w:val="24"/>
          <w:szCs w:val="24"/>
        </w:rPr>
        <w:t xml:space="preserve">DOI: https://doi.org/10.65154/jmst.%ID</w:t>
      </w:r>
    </w:p>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Cầu tàu container trên nền cọc là công trình có khối lượng vật liệu cọc lớn, trong khi thiết kế hiện hành thường chọn tiết diện cọc theo kinh nghiệm rồi kiểm tra lại, chưa khai thác đầy đủ bài toán tối ưu có ràng buộc. Nghiên cứu này hình thành bài toán tối ưu đa mục tiêu cho tiết diện hệ cọc (bê tông ly tâm dự ứng lực và ống thép) của một cầu tàu container 100.000 DWT thực tế, với biến thiết kế theo catalogue cọc bê tông ly tâm (3 lựa chọn theo TCVN 7888:2014) và kích thước cọc thép rời rạc hóa, tạo thành không gian thiết kế gồm 243 tổ hợp. Hai mục tiêu — khối lượng vật liệu cọc và chuyển vị ngang lớn nhất — được đánh giá trực tiếp qua mô hình phần tử hữu hạn SAP2000 kết nối MATLAB qua OAPI, chạy song song trên 8 tiến trình. Thuật toán tối ưu đa mục tiêu MOFDA (Multi-Objective Flow Direction Algorithm) — đã được công bố và kiểm chứng trước đó — được ứng dụng nguyên bản để giải bài toán này. Do không gian thiết kế đủ nhỏ, toàn bộ 243 tổ hợp cũng được liệt kê để xây dựng mặt Pareto tham chiếu độc lập (16 nghiệm). MOFDA tìm được 14 nghiệm không bị trội, trong đó 8/16 nghiệm thuộc mặt Pareto tham chiếu được nhận diện chính xác, cho thấy thuật toán có khả năng hội tụ về vùng nghiệm Pareto của bài toán trong giới hạn số lần đánh giá được sử dụng. Mặt Pareto thu được thể hiện rõ sự đánh đổi giữa khối lượng vật liệu (3.030,6–4.298,3 tấn) và chuyển vị ngang (11,9–13,9 mm), toàn bộ đều thấp hơn nhiều giới hạn cho phép 71,7 mm theo TCVN 11820-5:2021. Kết quả cung cấp cơ sở định lượng tham khảo cho lựa chọn tiết diện cọc trong giai đoạn thiết kế sơ bộ của công trình bến cảng.</w:t>
      </w:r>
    </w:p>
    <w:p>
      <w:pPr>
        <w:spacing w:after="80" w:before="40"/>
      </w:pPr>
      <w:r>
        <w:rPr>
          <w:rFonts w:ascii="Times New Roman" w:cs="Times New Roman" w:eastAsia="Times New Roman" w:hAnsi="Times New Roman"/>
          <w:b/>
          <w:bCs/>
          <w:sz w:val="20"/>
          <w:szCs w:val="20"/>
        </w:rPr>
        <w:t xml:space="preserve">Từ khóa: </w:t>
      </w:r>
      <w:r>
        <w:rPr>
          <w:rFonts w:ascii="Times New Roman" w:cs="Times New Roman" w:eastAsia="Times New Roman" w:hAnsi="Times New Roman"/>
          <w:i/>
          <w:iCs/>
          <w:sz w:val="20"/>
          <w:szCs w:val="20"/>
        </w:rPr>
        <w:t xml:space="preserve">tối ưu đa mục tiêu, thuật toán MOFDA, tiết diện cọc, cầu tàu trên nền cọc, kết nối SAP2000-MATLAB</w:t>
      </w:r>
    </w:p>
    <w:p>
      <w:pPr>
        <w:spacing w:after="40" w:before="8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Container wharves on pile foundations require large quantities of pile material, yet current practice typically sizes pile cross-sections by experience followed by verification, rather than through systematic constrained optimization. This paper formulates a multi-objective optimization problem for the pile cross-sections (prestressed spun concrete piles and steel pipe piles) of a real 100,000-DWT container wharf in Vietnam, with design variables drawn from a commercial concrete pile catalogue (three choices per TCVN 7888:2014) and a discretized grid of steel pile dimensions, yielding a design space of 243 combinations. The two objectives — pile material mass and the maximum lateral displacement under the governing load envelope — are evaluated directly through a SAP2000 finite-element model coupled to MATLAB via OAPI, executed in parallel across eight instances. The Multi-Objective Flow Direction Algorithm (MOFDA) — a previously published and validated algorithm — is applied in its original form to solve this problem. Because the discrete design space is small enough, all 243 combinations were also exhaustively enumerated to build an independent reference Pareto front (16 solutions). MOFDA (population 15, 15 iterations) found 14 non-dominated solutions, of which 8 of the 16 reference Pareto solutions were exactly identified, indicating that the algorithm is able to converge toward the Pareto region of the problem within the evaluation budget used. The resulting Pareto front shows a clear trade-off between pile material mass (3,030.6-4,298.3 tonnes) and lateral displacement (11.9-13.9 mm), all well below the 71.7 mm allowable limit per TCVN 11820-5:2021. The results provide a quantitative reference basis for pile cross-section selection at the preliminary design stage of wharf structures.</w:t>
      </w:r>
    </w:p>
    <w:p>
      <w:pPr>
        <w:spacing w:after="80" w:before="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multi-objective optimization, MOFDA algorithm, pile cross-section, piled wharf, SAP2000-MATLAB coupling</w:t>
      </w:r>
    </w:p>
    <w:p>
      <w:pPr>
        <w:sectPr>
          <w:type w:val="continuous"/>
          <w:pgSz w:w="11906" w:h="16838" w:orient="portrait"/>
          <w:pgMar w:top="1701" w:right="1418" w:bottom="1418" w:left="1588" w:header="708" w:footer="708" w:gutter="0"/>
          <w:pgNumType/>
          <w:docGrid w:linePitch="360"/>
        </w:sectPr>
      </w:pPr>
    </w:p>
    <w:p>
      <w:pPr>
        <w:keepNext/>
        <w:spacing w:after="80" w:before="160"/>
      </w:pPr>
      <w:r>
        <w:rPr>
          <w:rFonts w:ascii="Times New Roman" w:cs="Times New Roman" w:eastAsia="Times New Roman" w:hAnsi="Times New Roman"/>
          <w:b/>
          <w:bCs/>
          <w:color w:val="990033"/>
          <w:sz w:val="22"/>
          <w:szCs w:val="22"/>
        </w:rPr>
        <w:t xml:space="preserve">1. Mở đầu</w:t>
      </w:r>
    </w:p>
    <w:p>
      <w:pPr>
        <w:spacing w:after="40" w:before="40"/>
        <w:ind w:firstLine="284"/>
        <w:jc w:val="both"/>
      </w:pPr>
      <w:r>
        <w:rPr>
          <w:rFonts w:ascii="Times New Roman" w:cs="Times New Roman" w:eastAsia="Times New Roman" w:hAnsi="Times New Roman"/>
          <w:sz w:val="20"/>
          <w:szCs w:val="20"/>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Quy trình thiết kế phổ biến hiện nay là chọn trước tiết diện cọc theo kinh nghiệm hoặc catalogue thương mại, sau đó kiểm tra lại bằng mô hình phần tử hữu hạn (FEM) — một quy trình thuận (forward design) chưa được hệ thống hóa thành bài toán tối ưu có ràng buộc.</w:t>
      </w:r>
    </w:p>
    <w:p>
      <w:pPr>
        <w:spacing w:after="40" w:before="40"/>
        <w:ind w:firstLine="284"/>
        <w:jc w:val="both"/>
      </w:pPr>
      <w:r>
        <w:rPr>
          <w:rFonts w:ascii="Times New Roman" w:cs="Times New Roman" w:eastAsia="Times New Roman" w:hAnsi="Times New Roman"/>
          <w:sz w:val="20"/>
          <w:szCs w:val="20"/>
        </w:rPr>
        <w:t xml:space="preserve">Các thuật toán tối ưu dựa trên metaheuristic (GA, PSO, GWO, WOA, các biến thể thuật toán dòng chảy...) đã được ứng dụng rộng rãi cho tối ưu kết cấu khung thép, giàn, dầm. Thuật toán Flow Direction đa mục tiêu (MOFDA) là một thuật toán đã được công bố, với cơ chế lựa chọn thủ lĩnh lai (hybrid leader selection) thay cho phương pháp bánh xe roulette truyền thống, đã được kiểm chứng trên 31 hàm chuẩn, 11 bài toán kỹ thuật có ràng buộc và một công trình khung thép thực tế [1]. Bài báo này kế thừa MOFDA đã được kiểm chứng và áp dụng cho một đối tượng kết cấu khác là hệ cọc công trình bến cảng, gồm hai loại vật liệu, chịu tải trọng phức hợp, kết hợp trực tiếp với mô hình FEM thật thay vì hàm mục tiêu giải tích hay mô hình thay thế.</w:t>
      </w:r>
    </w:p>
    <w:p>
      <w:pPr>
        <w:spacing w:after="40" w:before="40"/>
        <w:ind w:firstLine="284"/>
        <w:jc w:val="both"/>
      </w:pPr>
      <w:r>
        <w:rPr>
          <w:rFonts w:ascii="Times New Roman" w:cs="Times New Roman" w:eastAsia="Times New Roman" w:hAnsi="Times New Roman"/>
          <w:sz w:val="20"/>
          <w:szCs w:val="20"/>
        </w:rPr>
        <w:t xml:space="preserve">Theo phạm vi tài liệu được khảo sát, việc kết hợp tối ưu đa mục tiêu với mô hình phần tử hữu hạn trực tiếp cho bài toán tiết diện hệ cọc cầu tàu thực tế, theo đúng hệ tiêu chuẩn thiết kế công trình cảng biển Việt Nam hiện hành, còn ít được đề cập. Mục tiêu của bài báo là: (i) hình thành bài toán tối ưu đa mục tiêu cho tiết diện cọc của một cầu tàu 100.000 DWT thực tế, với biến thiết kế theo catalogue thương mại và các ràng buộc kết cấu, chuyển vị được xây dựng theo các tiêu chuẩn Việt Nam áp dụng trong phạm vi dữ liệu nghiên cứu; (ii) xây dựng quy trình kết nối MOFDA (MATLAB) với SAP2000 qua OAPI, chạy song song nhiều tiến trình để tự động đánh giá phương án bằng mô hình FEM; (iii) đối chiếu kết quả MOFDA với mặt Pareto tham chiếu (thu được bằng cách liệt kê toàn bộ không gian thiết kế rời rạc, do không gian này đủ nhỏ), qua đó đánh giá khả năng ứng dụng của thuật toán trong bài toán kết cấu thực tế cụ thể này.</w:t>
      </w:r>
    </w:p>
    <w:p>
      <w:pPr>
        <w:spacing w:after="40" w:before="40"/>
        <w:ind w:firstLine="284"/>
        <w:jc w:val="both"/>
      </w:pPr>
      <w:r>
        <w:rPr>
          <w:rFonts w:ascii="Times New Roman" w:cs="Times New Roman" w:eastAsia="Times New Roman" w:hAnsi="Times New Roman"/>
          <w:sz w:val="20"/>
          <w:szCs w:val="20"/>
        </w:rPr>
        <w:t xml:space="preserve">Cần nhấn mạnh phạm vi bài báo: (1) MOFDA được sử dụng như công cụ đã kiểm chứng, không phải đối tượng phát triển mới, do đó bài báo không so sánh MOFDA với các thuật toán tối ưu đa mục tiêu khác; (2) hồ sơ thiết kế kỹ thuật của công trình chỉ được sử dụng để dựng mô hình FEM đầu vào, không nhằm mục đích đánh giá hay phê bình hồ sơ thiết kế gốc.</w:t>
      </w:r>
    </w:p>
    <w:p>
      <w:pPr>
        <w:keepNext/>
        <w:spacing w:after="80" w:before="160"/>
      </w:pPr>
      <w:r>
        <w:rPr>
          <w:rFonts w:ascii="Times New Roman" w:cs="Times New Roman" w:eastAsia="Times New Roman" w:hAnsi="Times New Roman"/>
          <w:b/>
          <w:bCs/>
          <w:color w:val="990033"/>
          <w:sz w:val="22"/>
          <w:szCs w:val="22"/>
        </w:rPr>
        <w:t xml:space="preserve">2. Đối tượng nghiên cứu và mô hình phần tử hữu hạn</w:t>
      </w:r>
    </w:p>
    <w:p>
      <w:pPr>
        <w:keepNext/>
        <w:spacing w:after="80" w:before="120"/>
      </w:pPr>
      <w:r>
        <w:rPr>
          <w:rFonts w:ascii="Times New Roman" w:cs="Times New Roman" w:eastAsia="Times New Roman" w:hAnsi="Times New Roman"/>
          <w:b/>
          <w:bCs/>
          <w:i/>
          <w:iCs/>
          <w:color w:val="990033"/>
          <w:sz w:val="22"/>
          <w:szCs w:val="22"/>
        </w:rPr>
        <w:t xml:space="preserve">2.1. Mô tả công trình</w:t>
      </w:r>
    </w:p>
    <w:p>
      <w:pPr>
        <w:spacing w:after="40" w:before="40"/>
        <w:ind w:firstLine="284"/>
        <w:jc w:val="both"/>
      </w:pPr>
      <w:r>
        <w:rPr>
          <w:rFonts w:ascii="Times New Roman" w:cs="Times New Roman" w:eastAsia="Times New Roman" w:hAnsi="Times New Roman"/>
          <w:sz w:val="20"/>
          <w:szCs w:val="20"/>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1 TẠI ĐÂY: Phối cảnh/hình chiếu tổng thể mô hình SAP2000 3D của cầu tàu 100.000 DWT]</w:t>
            </w:r>
          </w:p>
        </w:tc>
      </w:tr>
    </w:tbl>
    <w:p>
      <w:pPr>
        <w:spacing w:after="160" w:before="40"/>
        <w:jc w:val="center"/>
      </w:pPr>
      <w:r>
        <w:rPr>
          <w:rFonts w:ascii="Times New Roman" w:cs="Times New Roman" w:eastAsia="Times New Roman" w:hAnsi="Times New Roman"/>
          <w:b/>
          <w:bCs/>
          <w:i/>
          <w:iCs/>
          <w:sz w:val="18"/>
          <w:szCs w:val="18"/>
        </w:rPr>
        <w:t xml:space="preserve">Hình 1. Mô hình SAP2000 3D của cầu tàu container 100.000 DWT</w:t>
      </w:r>
    </w:p>
    <w:p>
      <w:pPr>
        <w:keepNext/>
        <w:spacing w:after="80" w:before="120"/>
      </w:pPr>
      <w:r>
        <w:rPr>
          <w:rFonts w:ascii="Times New Roman" w:cs="Times New Roman" w:eastAsia="Times New Roman" w:hAnsi="Times New Roman"/>
          <w:b/>
          <w:bCs/>
          <w:i/>
          <w:iCs/>
          <w:color w:val="990033"/>
          <w:sz w:val="22"/>
          <w:szCs w:val="22"/>
        </w:rPr>
        <w:t xml:space="preserve">2.2. Hệ cọc</w:t>
      </w:r>
    </w:p>
    <w:p>
      <w:pPr>
        <w:spacing w:after="40" w:before="40"/>
        <w:ind w:firstLine="284"/>
        <w:jc w:val="both"/>
      </w:pPr>
      <w:r>
        <w:rPr>
          <w:rFonts w:ascii="Times New Roman" w:cs="Times New Roman" w:eastAsia="Times New Roman" w:hAnsi="Times New Roman"/>
          <w:sz w:val="20"/>
          <w:szCs w:val="20"/>
        </w:rPr>
        <w:t xml:space="preserve">Hệ cọc của một phân đoạn gồm 132 cọc ống BTCT DƯL D800-540 (bố trí thẳng đứng và xiên 6:1) và 60 cọc ống thép D1016-T16 (xiên 6:1 và 7:1), tổng cộng 192 cọc. Trong bài toán tối ưu này, tiết diện cọc được coi là biến thiết kế áp dụng đồng nhất cho toàn bộ cọc cùng loại; vị trí, độ xiên và chiều dài cọc giữ nguyên theo hồ sơ.</w:t>
      </w:r>
    </w:p>
    <w:p>
      <w:pPr>
        <w:keepNext/>
        <w:spacing w:after="80" w:before="120"/>
      </w:pPr>
      <w:r>
        <w:rPr>
          <w:rFonts w:ascii="Times New Roman" w:cs="Times New Roman" w:eastAsia="Times New Roman" w:hAnsi="Times New Roman"/>
          <w:b/>
          <w:bCs/>
          <w:i/>
          <w:iCs/>
          <w:color w:val="990033"/>
          <w:sz w:val="22"/>
          <w:szCs w:val="22"/>
        </w:rPr>
        <w:t xml:space="preserve">2.3. Mô hình SAP2000</w:t>
      </w:r>
    </w:p>
    <w:p>
      <w:pPr>
        <w:spacing w:after="40" w:before="40"/>
        <w:ind w:firstLine="284"/>
        <w:jc w:val="both"/>
      </w:pPr>
      <w:r>
        <w:rPr>
          <w:rFonts w:ascii="Times New Roman" w:cs="Times New Roman" w:eastAsia="Times New Roman" w:hAnsi="Times New Roman"/>
          <w:sz w:val="20"/>
          <w:szCs w:val="20"/>
        </w:rPr>
        <w:t xml:space="preserve">Mô hình FEM tuyến tính tĩnh được xây dựng trong SAP2000, gồm 4.913 nút, 1.734 phần tử thanh và 4.488 phần tử tấm vỏ, đơn vị làm việc Tonf–m–°C. Vật liệu gồm bê tông M400 (dầm/bản), M800 (cọc BTCT), thép cọc, cốt thép A615Gr60 và tao dự ứng lực A416Gr270. Điều kiện biên gồm 192 nút ngàm biên phân đoạn và 178 nút gán lò xo nền theo phương dọc trục cọc. Mô hình bao gồm 36 tổ hợp tải cơ bản; trong đó 35/36 tổ hợp đã được gộp sẵn thành một tổ hợp bao dạng đường bao (envelope) trong mô hình gốc, được sử dụng trực tiếp cho việc trích xuất chuyển vị và nội lực. Tổ hợp bão riêng (hệ số vượt tải 1,25 cho tải cần trục khi có bão) nằm ngoài phạm vi đường bao này và chưa được đưa vào đợt tính toán tối ưu — giới hạn được nêu rõ tại mục 4.4.</w:t>
      </w:r>
    </w:p>
    <w:p>
      <w:pPr>
        <w:keepNext/>
        <w:spacing w:after="80" w:before="160"/>
      </w:pPr>
      <w:r>
        <w:rPr>
          <w:rFonts w:ascii="Times New Roman" w:cs="Times New Roman" w:eastAsia="Times New Roman" w:hAnsi="Times New Roman"/>
          <w:b/>
          <w:bCs/>
          <w:color w:val="990033"/>
          <w:sz w:val="22"/>
          <w:szCs w:val="22"/>
        </w:rPr>
        <w:t xml:space="preserve">3. Phương pháp</w:t>
      </w:r>
    </w:p>
    <w:p>
      <w:pPr>
        <w:keepNext/>
        <w:spacing w:after="80" w:before="120"/>
      </w:pPr>
      <w:r>
        <w:rPr>
          <w:rFonts w:ascii="Times New Roman" w:cs="Times New Roman" w:eastAsia="Times New Roman" w:hAnsi="Times New Roman"/>
          <w:b/>
          <w:bCs/>
          <w:i/>
          <w:iCs/>
          <w:color w:val="990033"/>
          <w:sz w:val="22"/>
          <w:szCs w:val="22"/>
        </w:rPr>
        <w:t xml:space="preserve">3.1. Bài toán tối ưu đa mục tiêu</w:t>
      </w:r>
    </w:p>
    <w:p>
      <w:pPr>
        <w:spacing w:after="40" w:before="40"/>
        <w:ind w:firstLine="284"/>
        <w:jc w:val="both"/>
      </w:pPr>
      <w:r>
        <w:rPr>
          <w:rFonts w:ascii="Times New Roman" w:cs="Times New Roman" w:eastAsia="Times New Roman" w:hAnsi="Times New Roman"/>
          <w:sz w:val="20"/>
          <w:szCs w:val="20"/>
        </w:rPr>
        <w:t xml:space="preserve">Bài toán được xây dựng dưới dạng tối ưu rời rạc, trong đó các biến thiết kế chỉ nhận các giá trị thuộc các miền lựa chọn xác định trước (catalogue thương mại đối với cọc BTCT, lưới giá trị rời rạc đối với cọc thép), thay vì biến liên tục. Bài toán có ba biến thiết kế:</w:t>
      </w:r>
    </w:p>
    <w:p>
      <w:pPr>
        <w:tabs>
          <w:tab w:val="right" w:pos="9026"/>
        </w:tabs>
        <w:spacing w:after="80" w:before="80"/>
      </w:pPr>
      <w:r>
        <w:rPr>
          <w:rFonts w:ascii="Times New Roman" w:cs="Times New Roman" w:eastAsia="Times New Roman" w:hAnsi="Times New Roman"/>
          <w:i/>
          <w:iCs/>
          <w:sz w:val="20"/>
          <w:szCs w:val="20"/>
        </w:rPr>
        <w:t xml:space="preserve">    x = [CatIdx_BTCT, D_thép, t_thép]</w:t>
      </w:r>
      <w:r>
        <w:rPr>
          <w:rFonts w:ascii="Times New Roman" w:cs="Times New Roman" w:eastAsia="Times New Roman" w:hAnsi="Times New Roman"/>
          <w:sz w:val="20"/>
          <w:szCs w:val="20"/>
        </w:rPr>
        <w:t xml:space="preserve">	(1)</w:t>
      </w:r>
    </w:p>
    <w:p>
      <w:pPr>
        <w:spacing w:after="40" w:before="40"/>
        <w:ind w:firstLine="284"/>
        <w:jc w:val="both"/>
      </w:pPr>
      <w:r>
        <w:rPr>
          <w:rFonts w:ascii="Times New Roman" w:cs="Times New Roman" w:eastAsia="Times New Roman" w:hAnsi="Times New Roman"/>
          <w:sz w:val="20"/>
          <w:szCs w:val="20"/>
        </w:rPr>
        <w:t xml:space="preserve">với cận dưới và cận trên của từng biến thiết kế: CatIdx_BTCT ∈ {1, 2, 3} (cận dưới 1, cận trên 3, tương ứng D700–D900, Bảng 1); D_thép ∈ [0,900; 1,100] m, bước 0,025 m (cận dưới 0,900 m, cận trên 1,100 m, 9 giá trị); t_thép ∈ [0,012; 0,020] m, bước 0,001 m (cận dưới 0,012 m, cận trên 0,020 m, 9 giá trị).</w:t>
      </w:r>
    </w:p>
    <w:p>
      <w:pPr>
        <w:spacing w:after="40" w:before="40"/>
        <w:ind w:firstLine="284"/>
        <w:jc w:val="both"/>
      </w:pPr>
      <w:r>
        <w:rPr>
          <w:rFonts w:ascii="Times New Roman" w:cs="Times New Roman" w:eastAsia="Times New Roman" w:hAnsi="Times New Roman"/>
          <w:sz w:val="20"/>
          <w:szCs w:val="20"/>
        </w:rPr>
        <w:t xml:space="preserve">CatIdx_BTCT là chỉ số dòng trong catalogue cọc bê tông ly tâm dự ứng lực (PHC) của nhà sản xuất AMACCAO, theo TCVN 7888:2014 và JIS A 5373:2016 [2], giới hạn trong ba dòng nằm trong miền nghiên cứu ban đầu có đường kính từ 0,70 đến 0,90 m (Bảng 1). Đường kính và chiều dày cọc BTCT không còn là hai biến độc lập — mỗi đường kính catalogue tương ứng đúng một chiều dày cố định. Cọc ống thép (D1016-T16) chưa có catalogue thương mại tương ứng nên được rời rạc hóa theo lưới cố định trong phạm vi cận trên/cận dưới nêu trên. Không gian tìm kiếm là tích của ba miền rời rạc: 3×9×9 = 243 tổ hợp.</w:t>
      </w:r>
    </w:p>
    <w:p>
      <w:pPr>
        <w:sectPr>
          <w:type w:val="nextPage"/>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1. Catalogue cọc bê tông ly tâm AMACCAO sử dụng (Class A, TCVN 7888:2014)</w:t>
      </w:r>
    </w:p>
    <w:tbl>
      <w:tblPr>
        <w:tblW w:type="dxa" w:w="7000"/>
        <w:tblBorders>
          <w:top w:val="single" w:sz="4"/>
          <w:left w:val="single" w:sz="4"/>
          <w:bottom w:val="single" w:sz="4"/>
          <w:right w:val="single" w:sz="4"/>
          <w:insideH w:val="single" w:sz="2"/>
          <w:insideV w:val="single" w:sz="2"/>
        </w:tblBorders>
      </w:tblPr>
      <w:tblGrid>
        <w:gridCol w:w="900"/>
        <w:gridCol w:w="900"/>
        <w:gridCol w:w="900"/>
        <w:gridCol w:w="1100"/>
        <w:gridCol w:w="1100"/>
        <w:gridCol w:w="11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A (m²)</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Mcr (T.m)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Mu (T.m)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Pvl (T)</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0,700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0,110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0,20389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26,00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39,00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500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0,800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0,120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0,25635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37,00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55,50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680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0,900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0,130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0,31447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48,95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73,42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880</w:t>
            </w:r>
          </w:p>
        </w:tc>
      </w:tr>
    </w:tbl>
    <w:p>
      <w:pPr>
        <w:spacing w:after="20" w:before="20"/>
        <w:jc w:val="right"/>
      </w:pPr>
      <w:r>
        <w:rPr>
          <w:rFonts w:ascii="Times New Roman" w:cs="Times New Roman" w:eastAsia="Times New Roman" w:hAnsi="Times New Roman"/>
          <w:i/>
          <w:iCs/>
          <w:sz w:val="18"/>
          <w:szCs w:val="18"/>
        </w:rPr>
        <w:t xml:space="preserve">Nguồn: Catalogue cọc bê tông ly tâm AMACCAO PILE [2], quy đổi mô men kN.m sang T.m.</w:t>
      </w:r>
    </w:p>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Hai hàm mục tiêu được xét đồng thời:</w:t>
      </w:r>
    </w:p>
    <w:p>
      <w:pPr>
        <w:tabs>
          <w:tab w:val="right" w:pos="9026"/>
        </w:tabs>
        <w:spacing w:after="80" w:before="80"/>
      </w:pPr>
      <w:r>
        <w:rPr>
          <w:rFonts w:ascii="Times New Roman" w:cs="Times New Roman" w:eastAsia="Times New Roman" w:hAnsi="Times New Roman"/>
          <w:i/>
          <w:iCs/>
          <w:sz w:val="20"/>
          <w:szCs w:val="20"/>
        </w:rPr>
        <w:t xml:space="preserve">    f₁ = A(D,t)_BTCT × ΣL_BTCT × γ_bt + A(D,t)_thép × ΣL_thép × γ_thép</w:t>
      </w:r>
      <w:r>
        <w:rPr>
          <w:rFonts w:ascii="Times New Roman" w:cs="Times New Roman" w:eastAsia="Times New Roman" w:hAnsi="Times New Roman"/>
          <w:sz w:val="20"/>
          <w:szCs w:val="20"/>
        </w:rPr>
        <w:t xml:space="preserve">	(2)</w:t>
      </w:r>
    </w:p>
    <w:p>
      <w:pPr>
        <w:tabs>
          <w:tab w:val="right" w:pos="9026"/>
        </w:tabs>
        <w:spacing w:after="80" w:before="80"/>
      </w:pPr>
      <w:r>
        <w:rPr>
          <w:rFonts w:ascii="Times New Roman" w:cs="Times New Roman" w:eastAsia="Times New Roman" w:hAnsi="Times New Roman"/>
          <w:i/>
          <w:iCs/>
          <w:sz w:val="20"/>
          <w:szCs w:val="20"/>
        </w:rPr>
        <w:t xml:space="preserve">    f₂ = max(√(U₁² + U₂²))</w:t>
      </w:r>
      <w:r>
        <w:rPr>
          <w:rFonts w:ascii="Times New Roman" w:cs="Times New Roman" w:eastAsia="Times New Roman" w:hAnsi="Times New Roman"/>
          <w:sz w:val="20"/>
          <w:szCs w:val="20"/>
        </w:rPr>
        <w:t xml:space="preserve">	(3)</w:t>
      </w:r>
    </w:p>
    <w:p>
      <w:pPr>
        <w:spacing w:after="40" w:before="40"/>
        <w:ind w:firstLine="284"/>
        <w:jc w:val="both"/>
      </w:pPr>
      <w:r>
        <w:rPr>
          <w:rFonts w:ascii="Times New Roman" w:cs="Times New Roman" w:eastAsia="Times New Roman" w:hAnsi="Times New Roman"/>
          <w:sz w:val="20"/>
          <w:szCs w:val="20"/>
        </w:rPr>
        <w:t xml:space="preserve">trong đó f₁ là tổng khối lượng vật liệu cọc (tấn), tính từ diện tích mặt cắt vành khuyên nhân với tổng chiều dài chế tạo thực tế của từng nhóm cọc và khối lượng riêng vật liệu (γ_bê tông = 2,5 T/m³, γ_thép = 7,85 T/m³ — đã đối chiếu khớp với dữ liệu trọng lượng danh định của catalogue AMACCAO); f₂ là chuyển vị ngang lớn nhất của cầu tàu trên tổ hợp bao, không xét thành phần đứng. Hai mục tiêu này phản ánh sự đánh đổi giữa yêu cầu giảm khối lượng vật liệu và yêu cầu bảo đảm độ cứng ngang cần thiết của hệ cọc, qua đó kiểm soát chuyển vị ngang của cầu tàu.</w:t>
      </w:r>
    </w:p>
    <w:p>
      <w:pPr>
        <w:spacing w:after="40" w:before="40"/>
        <w:ind w:firstLine="284"/>
        <w:jc w:val="both"/>
      </w:pPr>
      <w:r>
        <w:rPr>
          <w:rFonts w:ascii="Times New Roman" w:cs="Times New Roman" w:eastAsia="Times New Roman" w:hAnsi="Times New Roman"/>
          <w:sz w:val="20"/>
          <w:szCs w:val="20"/>
        </w:rPr>
        <w:t xml:space="preserve">Bốn nhóm ràng buộc được áp dụng: (i) tương tác lực dọc trục – mô men cọc BTCT theo đúng công thức do nhà sản xuất khuyến nghị cho cọc ly tâm dự ứng lực [2]:</w:t>
      </w:r>
    </w:p>
    <w:p>
      <w:pPr>
        <w:tabs>
          <w:tab w:val="right" w:pos="9026"/>
        </w:tabs>
        <w:spacing w:after="80" w:before="80"/>
      </w:pPr>
      <w:r>
        <w:rPr>
          <w:rFonts w:ascii="Times New Roman" w:cs="Times New Roman" w:eastAsia="Times New Roman" w:hAnsi="Times New Roman"/>
          <w:i/>
          <w:iCs/>
          <w:sz w:val="20"/>
          <w:szCs w:val="20"/>
        </w:rPr>
        <w:t xml:space="preserve">    N/Pvl + M/Mu − 1 ≤ 0</w:t>
      </w:r>
      <w:r>
        <w:rPr>
          <w:rFonts w:ascii="Times New Roman" w:cs="Times New Roman" w:eastAsia="Times New Roman" w:hAnsi="Times New Roman"/>
          <w:sz w:val="20"/>
          <w:szCs w:val="20"/>
        </w:rPr>
        <w:t xml:space="preserve">	(4)</w:t>
      </w:r>
    </w:p>
    <w:p>
      <w:pPr>
        <w:spacing w:after="40" w:before="40"/>
        <w:ind w:firstLine="284"/>
        <w:jc w:val="both"/>
      </w:pPr>
      <w:r>
        <w:rPr>
          <w:rFonts w:ascii="Times New Roman" w:cs="Times New Roman" w:eastAsia="Times New Roman" w:hAnsi="Times New Roman"/>
          <w:sz w:val="20"/>
          <w:szCs w:val="20"/>
        </w:rPr>
        <w:t xml:space="preserve">(ii) ứng suất cọc thép σ = N/A + M/W ≤ Fy/γM, với Fy = 3.150 kG/cm² theo bản vẽ thiết kế (TCVN 9245:2012); (iii) chuyển vị ngang U_max/U_allow − 1 ≤ 0, với U_allow = 71,7 mm theo TCVN 11820-5:2021, Điều 8.9, Bảng 12 (1/300 chiều cao bến, H = 21,5 m, không vượt quá 100 mm); (iv) sức chịu tải địa kỹ thuật theo TCVN 10304:2025 — hiện được ghi nhận trong khung bài toán nhưng chưa triển khai tính toán đầy đủ do thiếu số liệu chỉ tiêu cơ lý đất nền chi tiết (mục 4.4). Các ràng buộc kết cấu và chuyển vị (i)-(iii) được áp dụng đầy đủ trong phạm vi dữ liệu hiện có; kiểm tra sức chịu tải địa kỹ thuật (iv) chưa được đưa vào đánh giá định lượng trong đợt tính toán tối ưu do thiếu đầy đủ thông số đất nền chi tiết. Do đó, kết quả tối ưu chỉ có giá trị trong phạm vi các ràng buộc đã được triển khai và chưa được sử dụng để thay thế kiểm tra địa kỹ thuật trong thiết kế chính thức.</w:t>
      </w:r>
    </w:p>
    <w:p>
      <w:pPr>
        <w:spacing w:after="40" w:before="40"/>
        <w:ind w:firstLine="284"/>
        <w:jc w:val="both"/>
      </w:pPr>
      <w:r>
        <w:rPr>
          <w:rFonts w:ascii="Times New Roman" w:cs="Times New Roman" w:eastAsia="Times New Roman" w:hAnsi="Times New Roman"/>
          <w:sz w:val="20"/>
          <w:szCs w:val="20"/>
        </w:rPr>
        <w:t xml:space="preserve">Vi phạm ràng buộc được chuẩn hóa và tổng hợp thành hàm phạt nhân đồng thời lên cả hai mục tiêu:</w:t>
      </w:r>
    </w:p>
    <w:p>
      <w:pPr>
        <w:tabs>
          <w:tab w:val="right" w:pos="9026"/>
        </w:tabs>
        <w:spacing w:after="80" w:before="80"/>
      </w:pPr>
      <w:r>
        <w:rPr>
          <w:rFonts w:ascii="Times New Roman" w:cs="Times New Roman" w:eastAsia="Times New Roman" w:hAnsi="Times New Roman"/>
          <w:i/>
          <w:iCs/>
          <w:sz w:val="20"/>
          <w:szCs w:val="20"/>
        </w:rPr>
        <w:t xml:space="preserve">    Fk(x) = fk(x) × [1 + C×P(x)],  k = 1,2</w:t>
      </w:r>
      <w:r>
        <w:rPr>
          <w:rFonts w:ascii="Times New Roman" w:cs="Times New Roman" w:eastAsia="Times New Roman" w:hAnsi="Times New Roman"/>
          <w:sz w:val="20"/>
          <w:szCs w:val="20"/>
        </w:rPr>
        <w:t xml:space="preserve">	(5)</w:t>
      </w:r>
    </w:p>
    <w:p>
      <w:pPr>
        <w:spacing w:after="40" w:before="40"/>
        <w:ind w:firstLine="284"/>
        <w:jc w:val="both"/>
      </w:pPr>
      <w:r>
        <w:rPr>
          <w:rFonts w:ascii="Times New Roman" w:cs="Times New Roman" w:eastAsia="Times New Roman" w:hAnsi="Times New Roman"/>
          <w:sz w:val="20"/>
          <w:szCs w:val="20"/>
        </w:rPr>
        <w:t xml:space="preserve">với P(x) là tổng các vi phạm dương chuẩn hóa và C = 10 là hệ số khuếch đại phạt. Cách phạt nhân cho phép duy trì dạng thứ nguyên của từng hàm mục tiêu và hạn chế ảnh hưởng của sự khác biệt về thang đo giữa khối lượng và chuyển vị; khi P(x)=0 thì Fk=fk, tức phương án khả thi không chịu tác động của hàm phạt. Giá trị C = 10 được hiệu chỉnh qua các lần chạy thử của nghiên cứu này và giữ cố định trong toàn bộ đợt tính toán chính thức.</w:t>
      </w:r>
    </w:p>
    <w:p>
      <w:pPr>
        <w:keepNext/>
        <w:spacing w:after="80" w:before="120"/>
      </w:pPr>
      <w:r>
        <w:rPr>
          <w:rFonts w:ascii="Times New Roman" w:cs="Times New Roman" w:eastAsia="Times New Roman" w:hAnsi="Times New Roman"/>
          <w:b/>
          <w:bCs/>
          <w:i/>
          <w:iCs/>
          <w:color w:val="990033"/>
          <w:sz w:val="22"/>
          <w:szCs w:val="22"/>
        </w:rPr>
        <w:t xml:space="preserve">3.2. Thuật toán MOFDA</w:t>
      </w:r>
    </w:p>
    <w:p>
      <w:pPr>
        <w:spacing w:after="40" w:before="40"/>
        <w:ind w:firstLine="284"/>
        <w:jc w:val="both"/>
      </w:pPr>
      <w:r>
        <w:rPr>
          <w:rFonts w:ascii="Times New Roman" w:cs="Times New Roman" w:eastAsia="Times New Roman" w:hAnsi="Times New Roman"/>
          <w:sz w:val="20"/>
          <w:szCs w:val="20"/>
        </w:rPr>
        <w:t xml:space="preserve">MOFDA mô phỏng chuyển động của một "dòng chảy" hướng về vùng có giá trị hàm mục tiêu tốt hơn, kết hợp cơ chế lựa chọn thủ lĩnh lai để tăng khả năng hội tụ và duy trì đa dạng nghiệm Pareto, lưu trữ các nghiệm không bị trội trong một kho lưu trữ có cơ chế lưới để kiểm soát mật độ nghiệm [1]. Bài báo sử dụng nguyên bản cơ chế thuật toán đã công bố, không điều chỉnh công thức cập nhật vị trí.</w:t>
      </w:r>
    </w:p>
    <w:p>
      <w:pPr>
        <w:keepNext/>
        <w:spacing w:after="80" w:before="120"/>
      </w:pPr>
      <w:r>
        <w:rPr>
          <w:rFonts w:ascii="Times New Roman" w:cs="Times New Roman" w:eastAsia="Times New Roman" w:hAnsi="Times New Roman"/>
          <w:b/>
          <w:bCs/>
          <w:i/>
          <w:iCs/>
          <w:color w:val="990033"/>
          <w:sz w:val="22"/>
          <w:szCs w:val="22"/>
        </w:rPr>
        <w:t xml:space="preserve">3.3. Quy trình kết nối MOFDA–SAP2000 và tính toán song song</w:t>
      </w:r>
    </w:p>
    <w:p>
      <w:pPr>
        <w:spacing w:after="40" w:before="40"/>
        <w:ind w:firstLine="284"/>
        <w:jc w:val="both"/>
      </w:pPr>
      <w:r>
        <w:rPr>
          <w:rFonts w:ascii="Times New Roman" w:cs="Times New Roman" w:eastAsia="Times New Roman" w:hAnsi="Times New Roman"/>
          <w:sz w:val="20"/>
          <w:szCs w:val="20"/>
        </w:rPr>
        <w:t xml:space="preserve">Mỗi lần đánh giá một cá thể được thực hiện theo chu trình: (1) MOFDA sinh phương án tiết diện; (2) MATLAB truyền biến thiết kế sang SAP2000 qua OAPI; (3) SAP2000 cập nhật mô hình và phân tích; (4) MATLAB nhận chuyển vị và nội lực trên tổ hợp bao; (5) tính hai hàm mục tiêu và kiểm tra vi phạm ràng buộc; (6) kết quả trả về MOFDA; (7) thuật toán tiếp tục tìm kiếm ở vòng lặp kế tiếp. Toàn bộ quá trình được song song hóa trên 8 tiến trình SAP2000 độc lập, mỗi tiến trình lưu một bản sao mô hình riêng để tránh xung đột khi ghi tệp. Số lượng tiến trình song song (8) được lựa chọn dựa trên khảo sát thực nghiệm sơ bộ trên máy tính sử dụng (14 lõi/28 luồng), do việc tăng thêm số tiến trình không mang lại hiệu quả tương xứng vì tranh chấp tài nguyên tính toán giữa các tiến trình SAP2000.</w:t>
      </w:r>
    </w:p>
    <w:p>
      <w:pPr>
        <w:keepNext/>
        <w:spacing w:after="80" w:before="120"/>
      </w:pPr>
      <w:r>
        <w:rPr>
          <w:rFonts w:ascii="Times New Roman" w:cs="Times New Roman" w:eastAsia="Times New Roman" w:hAnsi="Times New Roman"/>
          <w:b/>
          <w:bCs/>
          <w:i/>
          <w:iCs/>
          <w:color w:val="990033"/>
          <w:sz w:val="22"/>
          <w:szCs w:val="22"/>
        </w:rPr>
        <w:t xml:space="preserve">3.4. Liệt kê toàn bộ không gian tìm kiếm</w:t>
      </w:r>
    </w:p>
    <w:p>
      <w:pPr>
        <w:spacing w:after="40" w:before="40"/>
        <w:ind w:firstLine="284"/>
        <w:jc w:val="both"/>
      </w:pPr>
      <w:r>
        <w:rPr>
          <w:rFonts w:ascii="Times New Roman" w:cs="Times New Roman" w:eastAsia="Times New Roman" w:hAnsi="Times New Roman"/>
          <w:sz w:val="20"/>
          <w:szCs w:val="20"/>
        </w:rPr>
        <w:t xml:space="preserve">Do không gian thiết kế hiện tại chỉ gồm 243 tổ hợp — nhỏ hơn nhiều so với số lần đánh giá thông thường của một thuật toán quần thể — toàn bộ không gian được đánh giá trực tiếp qua cùng mô hình FEM để xây dựng mặt Pareto tham chiếu độc lập cho kết quả MOFDA. Đây là một bước kiểm chứng bổ sung, tận dụng đặc điểm không gian rời rạc nhỏ của bài toán này, không nhằm thay thế cho việc ứng dụng MOFDA và không phải một phương pháp cạnh tranh với thuật toán.</w:t>
      </w:r>
    </w:p>
    <w:p>
      <w:pPr>
        <w:keepNext/>
        <w:spacing w:after="80" w:before="160"/>
      </w:pPr>
      <w:r>
        <w:rPr>
          <w:rFonts w:ascii="Times New Roman" w:cs="Times New Roman" w:eastAsia="Times New Roman" w:hAnsi="Times New Roman"/>
          <w:b/>
          <w:bCs/>
          <w:color w:val="990033"/>
          <w:sz w:val="22"/>
          <w:szCs w:val="22"/>
        </w:rPr>
        <w:t xml:space="preserve">4. Kết quả và thảo luận</w:t>
      </w:r>
    </w:p>
    <w:p>
      <w:pPr>
        <w:keepNext/>
        <w:spacing w:after="80" w:before="120"/>
      </w:pPr>
      <w:r>
        <w:rPr>
          <w:rFonts w:ascii="Times New Roman" w:cs="Times New Roman" w:eastAsia="Times New Roman" w:hAnsi="Times New Roman"/>
          <w:b/>
          <w:bCs/>
          <w:i/>
          <w:iCs/>
          <w:color w:val="990033"/>
          <w:sz w:val="22"/>
          <w:szCs w:val="22"/>
        </w:rPr>
        <w:t xml:space="preserve">4.1. Mặt Pareto tham chiếu (liệt kê toàn bộ)</w:t>
      </w:r>
    </w:p>
    <w:p>
      <w:pPr>
        <w:spacing w:after="40" w:before="40"/>
        <w:ind w:firstLine="284"/>
        <w:jc w:val="both"/>
      </w:pPr>
      <w:r>
        <w:rPr>
          <w:rFonts w:ascii="Times New Roman" w:cs="Times New Roman" w:eastAsia="Times New Roman" w:hAnsi="Times New Roman"/>
          <w:sz w:val="20"/>
          <w:szCs w:val="20"/>
        </w:rPr>
        <w:t xml:space="preserve">Toàn bộ 243 tổ hợp được đánh giá thành công qua SAP2000, trong thời gian 70,9 phút với 8 tiến trình song song. Kết quả xác định được 16 nghiệm không bị trội, trình bày trong Bảng 2.</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2. Mặt Pareto tham chiếu thu được từ 243 tổ hợp thiết kế (16 nghiệm không bị trội)</w:t>
      </w:r>
    </w:p>
    <w:tbl>
      <w:tblPr>
        <w:tblW w:type="dxa" w:w="5100"/>
        <w:tblBorders>
          <w:top w:val="single" w:sz="4"/>
          <w:left w:val="single" w:sz="4"/>
          <w:bottom w:val="single" w:sz="4"/>
          <w:right w:val="single" w:sz="4"/>
          <w:insideH w:val="single" w:sz="2"/>
          <w:insideV w:val="single" w:sz="2"/>
        </w:tblBorders>
      </w:tblPr>
      <w:tblGrid>
        <w:gridCol w:w="900"/>
        <w:gridCol w:w="1100"/>
        <w:gridCol w:w="1100"/>
        <w:gridCol w:w="10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3.056,8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13,76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3.078,0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13,53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3.103,0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13,44</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3.125,3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13,22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3.587,1</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13,15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13,05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3.659,5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12,78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3.681,8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12,60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4.183,6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12,52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4.203,7</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12,37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4.229,9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12,29</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4.251,0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12,13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4.276,0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12,07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Cả ba lựa chọn catalogue cọc BTCT (D700, D800, D900) đều xuất hiện trên mặt Pareto. Toàn bộ 16 nghiệm Pareto đều sử dụng đường kính cọc thép ở phía trên của miền khảo sát, D_thép = 1,075–1,100 m; chiều dày thay đổi trong khoảng t_thép = 0,018–0,020 m. Kết quả cho thấy trong miền thiết kế khảo sát, tăng kích thước cọc thép làm tăng độ cứng ngang của hệ và có xu hướng giảm chuyển vị, đồng thời làm tăng khối lượng vật liệu. Khối lượng vật liệu dao động 3.030,6–4.298,3 tấn ứng với chuyển vị ngang 11,92–13,88 mm — đều thấp hơn nhiều giới hạn cho phép 71,7 mm.</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2. Mặt Pareto tham chiếu của bài toán (16 nghiệm, liệt kê toàn bộ)</w:t>
      </w:r>
    </w:p>
    <w:p>
      <w:pPr>
        <w:keepNext/>
        <w:spacing w:after="80" w:before="120"/>
      </w:pPr>
      <w:r>
        <w:rPr>
          <w:rFonts w:ascii="Times New Roman" w:cs="Times New Roman" w:eastAsia="Times New Roman" w:hAnsi="Times New Roman"/>
          <w:b/>
          <w:bCs/>
          <w:i/>
          <w:iCs/>
          <w:color w:val="990033"/>
          <w:sz w:val="22"/>
          <w:szCs w:val="22"/>
        </w:rPr>
        <w:t xml:space="preserve">4.2. Đối chiếu kết quả MOFDA với mặt Pareto tham chiếu</w:t>
      </w:r>
    </w:p>
    <w:p>
      <w:pPr>
        <w:spacing w:after="40" w:before="40"/>
        <w:ind w:firstLine="284"/>
        <w:jc w:val="both"/>
      </w:pPr>
      <w:r>
        <w:rPr>
          <w:rFonts w:ascii="Times New Roman" w:cs="Times New Roman" w:eastAsia="Times New Roman" w:hAnsi="Times New Roman"/>
          <w:sz w:val="20"/>
          <w:szCs w:val="20"/>
        </w:rPr>
        <w:t xml:space="preserve">MOFDA được thực hiện một lần chạy chính thức, với quần thể 15 cá thể, 15 vòng lặp; ở mỗi vòng lặp, mỗi cá thể tạo ra β = 4 hướng dòng chảy lân cận cộng với 1 lần cập nhật chính (đặc thù cơ chế tìm kiếm của MOFDA), tương ứng tổng số lần đánh giá FEM là Np×[1 + maxiter×(β+1)] = 15×[1 + 15×5] = 1.140 lần. Thời gian thực hiện 5,35 giờ với 8 tiến trình song song, thu được 14 nghiệm không bị trội trong kho lưu trữ của lần chạy này. Đối chiếu trực tiếp với 16 nghiệm thuộc mặt Pareto tham chiếu: 8 trong 16 nghiệm (50%) được nhận diện chính xác, trùng khớp cả về biến thiết kế và giá trị hàm mục tiêu. Kết quả cho thấy thuật toán có khả năng hội tụ về vùng nghiệm Pareto của bài toán trong giới hạn số lần đánh giá được sử dụng. Sáu nghiệm còn lại là các nghiệm không bị trội trong tập nghiệm do thuật toán tìm được, nhưng bị trội bởi từ 1 đến 7 nghiệm khác khi xét toàn bộ không gian thiết kế — tức là các nghiệm gần vùng tối ưu nhưng chưa thuộc mặt Pareto tham chiếu.</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3. Đối chiếu mặt Pareto MOFDA (14 nghiệm) với mặt Pareto tham chiếu (16 nghiệm)</w:t>
      </w:r>
    </w:p>
    <w:p>
      <w:pPr>
        <w:spacing w:after="40" w:before="40"/>
        <w:ind w:firstLine="284"/>
        <w:jc w:val="both"/>
      </w:pPr>
      <w:r>
        <w:rPr>
          <w:rFonts w:ascii="Times New Roman" w:cs="Times New Roman" w:eastAsia="Times New Roman" w:hAnsi="Times New Roman"/>
          <w:sz w:val="20"/>
          <w:szCs w:val="20"/>
        </w:rPr>
        <w:t xml:space="preserve">Kết quả cho thấy MOFDA nhận diện được một phần đáng kể mặt Pareto tham chiếu trong giới hạn số lần đánh giá FEM được sử dụng, kể cả về cấu trúc biến thiết kế (ưu tiên chọn cọc thép kích thước lớn, đúng như mặt Pareto tham chiếu). Đối với bài toán có không gian thiết kế rời rạc nhỏ như trường hợp này, việc liệt kê toàn bộ không gian là khả thi và được sử dụng như một bước kiểm chứng độc lập cho kết quả MOFDA.</w:t>
      </w:r>
    </w:p>
    <w:p>
      <w:pPr>
        <w:keepNext/>
        <w:spacing w:after="80" w:before="120"/>
      </w:pPr>
      <w:r>
        <w:rPr>
          <w:rFonts w:ascii="Times New Roman" w:cs="Times New Roman" w:eastAsia="Times New Roman" w:hAnsi="Times New Roman"/>
          <w:b/>
          <w:bCs/>
          <w:i/>
          <w:iCs/>
          <w:color w:val="990033"/>
          <w:sz w:val="22"/>
          <w:szCs w:val="22"/>
        </w:rPr>
        <w:t xml:space="preserve">4.3. Phương án đại diện trên mặt Pareto</w:t>
      </w:r>
    </w:p>
    <w:p>
      <w:pPr>
        <w:spacing w:after="40" w:before="40"/>
        <w:ind w:firstLine="284"/>
        <w:jc w:val="both"/>
      </w:pPr>
      <w:r>
        <w:rPr>
          <w:rFonts w:ascii="Times New Roman" w:cs="Times New Roman" w:eastAsia="Times New Roman" w:hAnsi="Times New Roman"/>
          <w:sz w:val="20"/>
          <w:szCs w:val="20"/>
        </w:rPr>
        <w:t xml:space="preserve">Với dải nghiệm Pareto thu được, một phương án đại diện có sự cân bằng tương đối giữa hai mục tiêu (CatIdx=2, D_thép=1,100 m, t_thép=0,019 m: f₁≈3.634,5 tấn, f₂≈12,86 mm) được nêu làm ví dụ minh họa cho giai đoạn thiết kế sơ bộ. Việc lựa chọn phương án này nhằm minh họa một điểm trung gian trên mặt Pareto, không hàm ý đây là nghiệm tối ưu duy nhất; phương án cuối cùng cần được lựa chọn tùy theo mức độ ưu tiên giữa tiết kiệm vật liệu và kiểm soát chuyển vị của dự án cụ thể.</w:t>
      </w:r>
    </w:p>
    <w:p>
      <w:pPr>
        <w:keepNext/>
        <w:spacing w:after="80" w:before="120"/>
      </w:pPr>
      <w:r>
        <w:rPr>
          <w:rFonts w:ascii="Times New Roman" w:cs="Times New Roman" w:eastAsia="Times New Roman" w:hAnsi="Times New Roman"/>
          <w:b/>
          <w:bCs/>
          <w:i/>
          <w:iCs/>
          <w:color w:val="990033"/>
          <w:sz w:val="22"/>
          <w:szCs w:val="22"/>
        </w:rPr>
        <w:t xml:space="preserve">4.4. Giới hạn của nghiên cứu</w:t>
      </w:r>
    </w:p>
    <w:p>
      <w:pPr>
        <w:spacing w:after="40" w:before="40"/>
        <w:ind w:firstLine="284"/>
        <w:jc w:val="both"/>
      </w:pPr>
      <w:r>
        <w:rPr>
          <w:rFonts w:ascii="Times New Roman" w:cs="Times New Roman" w:eastAsia="Times New Roman" w:hAnsi="Times New Roman"/>
          <w:sz w:val="20"/>
          <w:szCs w:val="20"/>
        </w:rPr>
        <w:t xml:space="preserve">Nghiên cứu còn một số giới hạn: (i) ràng buộc sức chịu tải địa kỹ thuật theo TCVN 10304:2025 chưa được triển khai tính toán đầy đủ do thiếu số liệu chỉ tiêu cơ lý đất nền chi tiết; (ii) tổ hợp tải trọng bão chưa được đưa vào phạm vi đánh giá của đợt tính toán tối ưu; (iii) catalogue cọc ống thép chưa có sẵn nên biến thiết kế tương ứng được rời rạc hóa theo lưới giả định; (iv) mô hình chỉ xét phân tích tuyến tính tĩnh, chưa xét ứng xử phi tuyến hay tương tác đất–cọc chi tiết kiểu p–y. Các giới hạn này không làm thay đổi kết luận về khả năng ứng dụng của MOFDA nhưng cần được bổ sung trước khi sử dụng kết quả số cho thiết kế thi công. Kết quả tối ưu không được sử dụng trực tiếp để thay thế hồ sơ thiết kế thi công.</w:t>
      </w:r>
    </w:p>
    <w:p>
      <w:pPr>
        <w:keepNext/>
        <w:spacing w:after="80" w:before="160"/>
      </w:pPr>
      <w:r>
        <w:rPr>
          <w:rFonts w:ascii="Times New Roman" w:cs="Times New Roman" w:eastAsia="Times New Roman" w:hAnsi="Times New Roman"/>
          <w:b/>
          <w:bCs/>
          <w:color w:val="990033"/>
          <w:sz w:val="22"/>
          <w:szCs w:val="22"/>
        </w:rPr>
        <w:t xml:space="preserve">5. Kết luận</w:t>
      </w:r>
    </w:p>
    <w:p>
      <w:pPr>
        <w:spacing w:after="40" w:before="40"/>
        <w:ind w:firstLine="284"/>
        <w:jc w:val="both"/>
      </w:pPr>
      <w:r>
        <w:rPr>
          <w:rFonts w:ascii="Times New Roman" w:cs="Times New Roman" w:eastAsia="Times New Roman" w:hAnsi="Times New Roman"/>
          <w:sz w:val="20"/>
          <w:szCs w:val="20"/>
        </w:rPr>
        <w:t xml:space="preserve">Bài báo đã ứng dụng thuật toán tối ưu đa mục tiêu MOFDA — một thuật toán đã được công bố, không phát triển hay điều chỉnh thêm trong nghiên cứu này — để hỗ trợ lựa chọn tiết diện hệ cọc của một cầu tàu container 100.000 DWT thực tế, kết hợp trực tiếp với mô hình phần tử hữu hạn SAP2000 qua OAPI, chạy song song trên nhiều tiến trình. Các kết luận chính gồm:</w:t>
      </w:r>
    </w:p>
    <w:p>
      <w:pPr>
        <w:spacing w:after="40" w:before="40"/>
        <w:ind w:firstLine="284"/>
        <w:jc w:val="both"/>
      </w:pPr>
      <w:r>
        <w:rPr>
          <w:rFonts w:ascii="Times New Roman" w:cs="Times New Roman" w:eastAsia="Times New Roman" w:hAnsi="Times New Roman"/>
          <w:sz w:val="20"/>
          <w:szCs w:val="20"/>
        </w:rPr>
        <w:t xml:space="preserve">(1) Đã hình thành bài toán tối ưu rời rạc cho tiết diện hệ cọc (chỉ số catalogue cọc BTCT và kích thước cọc thép rời rạc hóa) của một cầu tàu container thực tế, với các ràng buộc kết cấu và chuyển vị được xây dựng theo các tiêu chuẩn Việt Nam áp dụng trong nghiên cứu (TCVN 7888:2014, TCVN 11820-5:2021, TCVN 9245:2012).</w:t>
      </w:r>
    </w:p>
    <w:p>
      <w:pPr>
        <w:spacing w:after="40" w:before="40"/>
        <w:ind w:firstLine="284"/>
        <w:jc w:val="both"/>
      </w:pPr>
      <w:r>
        <w:rPr>
          <w:rFonts w:ascii="Times New Roman" w:cs="Times New Roman" w:eastAsia="Times New Roman" w:hAnsi="Times New Roman"/>
          <w:sz w:val="20"/>
          <w:szCs w:val="20"/>
        </w:rPr>
        <w:t xml:space="preserve">(2) Đã xây dựng được quy trình kết nối MOFDA–MATLAB–SAP2000, cho phép tự động đánh giá từng phương án bằng mô hình FEM; do không gian thiết kế của bài toán chỉ gồm 243 tổ hợp, toàn bộ không gian cũng được liệt kê để xây dựng mặt Pareto tham chiếu độc lập gồm 16 nghiệm.</w:t>
      </w:r>
    </w:p>
    <w:p>
      <w:pPr>
        <w:spacing w:after="40" w:before="40"/>
        <w:ind w:firstLine="284"/>
        <w:jc w:val="both"/>
      </w:pPr>
      <w:r>
        <w:rPr>
          <w:rFonts w:ascii="Times New Roman" w:cs="Times New Roman" w:eastAsia="Times New Roman" w:hAnsi="Times New Roman"/>
          <w:sz w:val="20"/>
          <w:szCs w:val="20"/>
        </w:rPr>
        <w:t xml:space="preserve">(3) Mặt Pareto thu được cho thấy rõ sự đánh đổi giữa khối lượng vật liệu cọc (3.030,6–4.298,3 tấn) và chuyển vị ngang (11,9–13,9 mm) — đều thấp hơn nhiều giới hạn cho phép 71,7 mm theo TCVN 11820-5:2021.</w:t>
      </w:r>
    </w:p>
    <w:p>
      <w:pPr>
        <w:spacing w:after="40" w:before="40"/>
        <w:ind w:firstLine="284"/>
        <w:jc w:val="both"/>
      </w:pPr>
      <w:r>
        <w:rPr>
          <w:rFonts w:ascii="Times New Roman" w:cs="Times New Roman" w:eastAsia="Times New Roman" w:hAnsi="Times New Roman"/>
          <w:sz w:val="20"/>
          <w:szCs w:val="20"/>
        </w:rPr>
        <w:t xml:space="preserve">(4) MOFDA nhận diện được 8 trong 16 nghiệm thuộc mặt Pareto tham chiếu, cho thấy khả năng ứng dụng thuật toán vào bài toán kết cấu thực tế trong phạm vi nghiên cứu, dù chưa bao phủ hết không gian nghiệm tối ưu với ngân sách đánh giá đã dùng.</w:t>
      </w:r>
    </w:p>
    <w:p>
      <w:pPr>
        <w:spacing w:after="40" w:before="40"/>
        <w:ind w:firstLine="284"/>
        <w:jc w:val="both"/>
      </w:pPr>
      <w:r>
        <w:rPr>
          <w:rFonts w:ascii="Times New Roman" w:cs="Times New Roman" w:eastAsia="Times New Roman" w:hAnsi="Times New Roman"/>
          <w:sz w:val="20"/>
          <w:szCs w:val="20"/>
        </w:rPr>
        <w:t xml:space="preserve">(5) Kết quả được sử dụng làm cơ sở tham khảo cho lựa chọn phương án sơ bộ; cần bổ sung các kiểm tra còn thiếu — đặc biệt là sức chịu tải địa kỹ thuật — trước khi áp dụng cho thiết kế chính thức.</w:t>
      </w:r>
    </w:p>
    <w:p>
      <w:pPr>
        <w:spacing w:after="40" w:before="80"/>
      </w:pPr>
      <w:r>
        <w:rPr>
          <w:rFonts w:ascii="Times New Roman" w:cs="Times New Roman" w:eastAsia="Times New Roman" w:hAnsi="Times New Roman"/>
          <w:b/>
          <w:bCs/>
          <w:sz w:val="22"/>
          <w:szCs w:val="22"/>
        </w:rPr>
        <w:t xml:space="preserve">Lời cảm ơn</w:t>
      </w:r>
    </w:p>
    <w:p>
      <w:pPr>
        <w:spacing w:after="40" w:before="40"/>
        <w:ind w:firstLine="284"/>
        <w:jc w:val="both"/>
      </w:pPr>
      <w:r>
        <w:rPr>
          <w:rFonts w:ascii="Times New Roman" w:cs="Times New Roman" w:eastAsia="Times New Roman" w:hAnsi="Times New Roman"/>
          <w:sz w:val="20"/>
          <w:szCs w:val="20"/>
        </w:rPr>
        <w:t xml:space="preserve">(nếu có)</w:t>
      </w:r>
    </w:p>
    <w:p>
      <w:pPr>
        <w:spacing w:after="80" w:before="160"/>
      </w:pPr>
      <w:r>
        <w:rPr>
          <w:rFonts w:ascii="Times New Roman" w:cs="Times New Roman" w:eastAsia="Times New Roman" w:hAnsi="Times New Roman"/>
          <w:b/>
          <w:bCs/>
          <w:color w:val="990033"/>
          <w:sz w:val="22"/>
          <w:szCs w:val="22"/>
          <w:u w:val="single"/>
        </w:rPr>
        <w:t xml:space="preserve">TÀI LIỆU THAM KHẢO</w:t>
      </w:r>
    </w:p>
    <w:p>
      <w:pPr>
        <w:spacing w:after="20" w:before="20"/>
        <w:ind w:left="284" w:hanging="284"/>
        <w:jc w:val="both"/>
      </w:pPr>
      <w:r>
        <w:rPr>
          <w:rFonts w:ascii="Times New Roman" w:cs="Times New Roman" w:eastAsia="Times New Roman" w:hAnsi="Times New Roman"/>
          <w:sz w:val="20"/>
          <w:szCs w:val="20"/>
        </w:rPr>
        <w:t xml:space="preserve">[1] Truong V.H., Khatir S., Cuong-Le T. (2026), Real-World Steel Frame Optimization Using a Hybrid Leader Selection-Based Multi-Objective Flow Direction Algorithm, Trường Đại học Mở Thành phố Hồ Chí Minh.</w:t>
      </w:r>
    </w:p>
    <w:p>
      <w:pPr>
        <w:spacing w:after="20" w:before="20"/>
        <w:ind w:left="284" w:hanging="284"/>
        <w:jc w:val="both"/>
      </w:pPr>
      <w:r>
        <w:rPr>
          <w:rFonts w:ascii="Times New Roman" w:cs="Times New Roman" w:eastAsia="Times New Roman" w:hAnsi="Times New Roman"/>
          <w:sz w:val="20"/>
          <w:szCs w:val="20"/>
        </w:rPr>
        <w:t xml:space="preserve">[2] AMACCAO PILE (2014), Catalogue và thông số kỹ thuật cọc bê tông ly tâm AMACCAO D300-D1200, theo TCVN 7888:2014 và JIS A 5373:2016.</w:t>
      </w:r>
    </w:p>
    <w:p>
      <w:pPr>
        <w:spacing w:after="20" w:before="20"/>
        <w:ind w:left="284" w:hanging="284"/>
        <w:jc w:val="both"/>
      </w:pPr>
      <w:r>
        <w:rPr>
          <w:rFonts w:ascii="Times New Roman" w:cs="Times New Roman" w:eastAsia="Times New Roman" w:hAnsi="Times New Roman"/>
          <w:sz w:val="20"/>
          <w:szCs w:val="20"/>
        </w:rPr>
        <w:t xml:space="preserve">[3] Bộ Khoa học và Công nghệ (2021), TCVN 11820-5:2021 — Công trình cảng biển – Yêu cầu thiết kế – Phần 5: Công trình bến.</w:t>
      </w:r>
    </w:p>
    <w:p>
      <w:pPr>
        <w:spacing w:after="20" w:before="20"/>
        <w:ind w:left="284" w:hanging="284"/>
        <w:jc w:val="both"/>
      </w:pPr>
      <w:r>
        <w:rPr>
          <w:rFonts w:ascii="Times New Roman" w:cs="Times New Roman" w:eastAsia="Times New Roman" w:hAnsi="Times New Roman"/>
          <w:sz w:val="20"/>
          <w:szCs w:val="20"/>
        </w:rPr>
        <w:t xml:space="preserve">[4] Bộ Khoa học và Công nghệ (2020), TCVN 11820-4-1:2020 — Công trình cảng biển – Yêu cầu thiết kế – Phần 4-1: Nền móng.</w:t>
      </w:r>
    </w:p>
    <w:p>
      <w:pPr>
        <w:spacing w:after="20" w:before="20"/>
        <w:ind w:left="284" w:hanging="284"/>
        <w:jc w:val="both"/>
      </w:pPr>
      <w:r>
        <w:rPr>
          <w:rFonts w:ascii="Times New Roman" w:cs="Times New Roman" w:eastAsia="Times New Roman" w:hAnsi="Times New Roman"/>
          <w:sz w:val="20"/>
          <w:szCs w:val="20"/>
        </w:rPr>
        <w:t xml:space="preserve">[5] Bộ Khoa học và Công nghệ, TCVN 10304:2025 — Thiết kế móng cọc.</w:t>
      </w:r>
    </w:p>
    <w:p>
      <w:pPr>
        <w:spacing w:after="20" w:before="20"/>
        <w:ind w:left="284" w:hanging="284"/>
        <w:jc w:val="both"/>
      </w:pPr>
      <w:r>
        <w:rPr>
          <w:rFonts w:ascii="Times New Roman" w:cs="Times New Roman" w:eastAsia="Times New Roman" w:hAnsi="Times New Roman"/>
          <w:sz w:val="20"/>
          <w:szCs w:val="20"/>
        </w:rPr>
        <w:t xml:space="preserve">[6] Bộ Khoa học và Công nghệ, TCVN 9245:2012 — Cọc ống thép.</w:t>
      </w:r>
    </w:p>
    <w:p>
      <w:pPr>
        <w:spacing w:before="300"/>
      </w:pPr>
      <w:r>
        <w:rPr>
          <w:rFonts w:ascii="Times New Roman" w:cs="Times New Roman" w:eastAsia="Times New Roman" w:hAnsi="Times New Roman"/>
          <w:i/>
          <w:iCs/>
          <w:sz w:val="18"/>
          <w:szCs w:val="18"/>
        </w:rPr>
        <w:t xml:space="preserve">Ngày nhận bài: xx/xx/2026</w:t>
      </w:r>
    </w:p>
    <w:p>
      <w:r>
        <w:rPr>
          <w:rFonts w:ascii="Times New Roman" w:cs="Times New Roman" w:eastAsia="Times New Roman" w:hAnsi="Times New Roman"/>
          <w:i/>
          <w:iCs/>
          <w:sz w:val="18"/>
          <w:szCs w:val="18"/>
        </w:rPr>
        <w:t xml:space="preserve">Ngày nhận bản sửa: xx/xx/2026</w:t>
      </w:r>
    </w:p>
    <w:p>
      <w:r>
        <w:rPr>
          <w:rFonts w:ascii="Times New Roman" w:cs="Times New Roman" w:eastAsia="Times New Roman" w:hAnsi="Times New Roman"/>
          <w:i/>
          <w:iCs/>
          <w:sz w:val="18"/>
          <w:szCs w:val="18"/>
        </w:rPr>
        <w:t xml:space="preserve">Ngày duyệt đăng: xx/xx/2026</w:t>
      </w:r>
    </w:p>
    <w:sectPr>
      <w:type w:val="continuous"/>
      <w:pgSz w:w="11906" w:h="16838" w:orient="portrait"/>
      <w:pgMar w:top="1701" w:right="1418" w:bottom="1418"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ccfd02b8155d2bcfe29896faad19583fb03b18.png"/><Relationship Id="rId8" Type="http://schemas.openxmlformats.org/officeDocument/2006/relationships/image" Target="media/e4609ac2c3c7024ef009268cc6ffecd7600943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2026-09-04T14:36:51.136Z</dcterms:created>
  <dcterms:modified xsi:type="dcterms:W3CDTF">2026-09-04T14:36:51.137Z</dcterms:modified>
</cp:coreProperties>
</file>

<file path=docProps/custom.xml><?xml version="1.0" encoding="utf-8"?>
<Properties xmlns="http://schemas.openxmlformats.org/officeDocument/2006/custom-properties" xmlns:vt="http://schemas.openxmlformats.org/officeDocument/2006/docPropsVTypes"/>
</file>