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HÓA ĐA MỤC TIÊU TIẾT DIỆN CỌC CẦU TÀU CONTAINER 100.000 DWT BẰNG THUẬT TOÁN MOFDA</w:t>
      </w:r>
    </w:p>
    <w:p>
      <w:pPr>
        <w:spacing w:after="80" w:before="60"/>
        <w:jc w:val="center"/>
      </w:pPr>
      <w:r>
        <w:rPr>
          <w:rFonts w:ascii="Times New Roman" w:cs="Times New Roman" w:eastAsia="Times New Roman" w:hAnsi="Times New Roman"/>
          <w:sz w:val="26"/>
          <w:szCs w:val="26"/>
        </w:rPr>
        <w:t xml:space="preserve">MULTI-OBJECTIVE OPTIMIZATION OF PILE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là công trình có khối lượng vật liệu cọc lớn, trong khi thiết kế hiện hành thường chọn tiết diện cọc theo kinh nghiệm rồi kiểm tra lại, chưa khai thác đầy đủ bài toán tối ưu có ràng buộc. Nghiên cứu này hình thành bài toán tối ưu đa mục tiêu cho tiết diện hệ cọc (bê tông ly tâm dự ứng lực và ống thép) của một cầu tàu container 100.000 DWT thực tế, với biến thiết kế theo catalogue cọc bê tông ly tâm (3 lựa chọn theo TCVN 7888:2014) và kích thước cọc thép rời rạc hóa, tạo thành không gian thiết kế gồm 243 tổ hợp. Hai mục tiêu — khối lượng vật liệu cọc và chuyển vị ngang lớn nhất — được đánh giá trực tiếp qua mô hình phần tử hữu hạn SAP2000 kết nối MATLAB qua OAPI, chạy song song trên 8 tiến trình. Thuật toán tối ưu đa mục tiêu MOFDA (Multi-Objective Flow Direction Algorithm) — đã được công bố và kiểm chứng trước đó — được ứng dụng nguyên bản để giải bài toán này. Do không gian thiết kế đủ nhỏ, toàn bộ 243 tổ hợp cũng được liệt kê để xây dựng mặt Pareto tham chiếu độc lập (16 nghiệm). MOFDA tìm được 14 nghiệm không bị trội, trong đó 8/16 nghiệm thuộc mặt Pareto tham chiếu được nhận diện chính xác, cho thấy thuật toán có khả năng hội tụ về vùng nghiệm Pareto của bài toán trong giới hạn số lần đánh giá được sử dụng. Mặt Pareto thu được thể hiện rõ sự đánh đổi giữa khối lượng vật liệu (3.030,6–4.298,3 tấn) và chuyển vị ngang (11,9–13,9 mm), toàn bộ đều thấp hơn nhiều giới hạn cho phép 71,7 mm theo TCVN 11820-5:2021. Kết quả cung cấp cơ sở định lượng tham khảo cho lựa chọn tiết diện cọc trong giai đoạn thiết kế sơ bộ của công trình bến cảng.</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large quantities of pile material, yet current practice typically sizes pile cross-sections by experience followed by verification, rather than through systematic constrained optimization. This paper formulates a multi-objective optimization problem for the pile cross-sections (prestressed spun concrete piles and steel pipe piles) of a real 100,000-DWT container wharf in Vietnam, with design variables drawn from a commercial concrete pile catalogue (three choices per TCVN 7888:2014) and a discretized grid of steel pile dimensions, yielding a design space of 243 combinations. The two objectives — pile material mass and the maximum lateral displacement under the governing load envelope — are evaluated directly through a SAP2000 finite-element model coupled to MATLAB via OAPI, executed in parallel across eight instances. The Multi-Objective Flow Direction Algorithm (MOFDA) — a previously published and validated algorithm — is applied in its original form to solve this problem. Because the discrete design space is small enough, all 243 combinations were also exhaustively enumerated to build an independent reference Pareto front (16 solutions). MOFDA (population 15, 15 iterations) found 14 non-dominated solutions, of which 8 of the 16 reference Pareto solutions were exactly identified, indicating that the algorithm is able to converge toward the Pareto region of the problem within the evaluation budget used. The resulting Pareto front shows a clear trade-off between pile material mass (3,030.6-4,298.3 tonnes) and lateral displacement (11.9-13.9 mm), all well below the 71.7 mm allowable limit per TCVN 11820-5:2021. The results provide a quantitative reference basis for pile cross-section selection at the preliminary design stage of wharf structures.</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keepNext/>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và áp dụng cho một đối tượng kết cấu khác là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Theo phạm vi tài liệu được khảo sát, việc kết hợp tối ưu đa mục tiêu với mô hình phần tử hữu hạn trực tiếp cho bài toán tiết diện hệ cọc cầu tàu thực tế, theo đúng hệ tiêu chuẩn thiết kế công trình cảng biển Việt Nam hiện hành, còn ít được đề cập. Mục tiêu của bài báo là: (i) hình thành bài toán tối ưu đa mục tiêu cho tiết diện cọc của một cầu tàu 100.000 DWT thực tế, với biến thiết kế theo catalogue thương mại và các ràng buộc kết cấu, chuyển vị được xây dựng theo các tiêu chuẩn Việt Nam áp dụng trong phạm vi dữ liệu nghiên cứu; (ii) xây dựng quy trình kết nối MOFDA (MATLAB) với SAP2000 qua OAPI, chạy song song nhiều tiến trình để tự động đánh giá phương án bằng mô hình FEM; (iii) đối chiếu kết quả MOFDA với mặt Pareto tham chiếu (thu được bằng cách liệt kê toàn bộ không gian thiết kế rời rạc, do không gian này đủ nhỏ), qua đó đánh giá khả năng ứng dụng của thuật toán trong bài toán kết cấu thực tế cụ thể này.</w:t>
      </w:r>
    </w:p>
    <w:p>
      <w:pPr>
        <w:spacing w:after="40" w:before="40"/>
        <w:ind w:firstLine="284"/>
        <w:jc w:val="both"/>
      </w:pPr>
      <w:r>
        <w:rPr>
          <w:rFonts w:ascii="Times New Roman" w:cs="Times New Roman" w:eastAsia="Times New Roman" w:hAnsi="Times New Roman"/>
          <w:sz w:val="20"/>
          <w:szCs w:val="20"/>
        </w:rPr>
        <w:t xml:space="preserve">Cần nhấn mạnh phạm vi bài báo: (1) MOFDA được sử dụng như công cụ đã kiểm chứng, không phải đối tượng phát triển mới, do đó bài báo không so sánh MOFDA với các thuật toán tối ưu đa mục tiêu khác; (2) hồ sơ thiết kế kỹ thuật của công trình chỉ được sử dụng để dựng mô hình FEM đầu vào, không nhằm mục đích đánh giá hay phê bình hồ sơ thiết kế gốc.</w:t>
      </w:r>
    </w:p>
    <w:p>
      <w:pPr>
        <w:keepNext/>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keepNext/>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1 TẠI ĐÂY: Phối cảnh/hình chiếu tổng thể mô hình SAP2000 3D của cầu tàu 100.000 DWT]</w:t>
            </w:r>
          </w:p>
        </w:tc>
      </w:tr>
    </w:tbl>
    <w:p>
      <w:pPr>
        <w:spacing w:after="160" w:before="40"/>
        <w:jc w:val="center"/>
      </w:pPr>
      <w:r>
        <w:rPr>
          <w:rFonts w:ascii="Times New Roman" w:cs="Times New Roman" w:eastAsia="Times New Roman" w:hAnsi="Times New Roman"/>
          <w:b/>
          <w:bCs/>
          <w:i/>
          <w:iCs/>
          <w:sz w:val="18"/>
          <w:szCs w:val="18"/>
        </w:rPr>
        <w:t xml:space="preserve">Hình 1. Mô hình SAP2000 3D của cầu tàu container 100.000 DWT</w:t>
      </w:r>
    </w:p>
    <w:p>
      <w:pPr>
        <w:keepNext/>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giữ nguyên theo hồ sơ.</w:t>
      </w:r>
    </w:p>
    <w:p>
      <w:pPr>
        <w:keepNext/>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gốc, được sử dụng trực tiếp cho việc trích xuất chuyển vị và nội lực. Tổ hợp bão riêng (hệ số vượt tải 1,25 cho tải cần trục khi có bão) nằm ngoài phạm vi đường bao này và chưa được đưa vào đợt tính toán tối ưu — giới hạn được nêu rõ tại mục 4.4.</w:t>
      </w:r>
    </w:p>
    <w:p>
      <w:pPr>
        <w:keepNext/>
        <w:spacing w:after="80" w:before="160"/>
      </w:pPr>
      <w:r>
        <w:rPr>
          <w:rFonts w:ascii="Times New Roman" w:cs="Times New Roman" w:eastAsia="Times New Roman" w:hAnsi="Times New Roman"/>
          <w:b/>
          <w:bCs/>
          <w:color w:val="990033"/>
          <w:sz w:val="22"/>
          <w:szCs w:val="22"/>
        </w:rPr>
        <w:t xml:space="preserve">3. Phương pháp</w:t>
      </w:r>
    </w:p>
    <w:p>
      <w:pPr>
        <w:keepNext/>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được xây dựng dưới dạng tối ưu rời rạc, trong đó các biến thiết kế chỉ nhận các giá trị thuộc các miền lựa chọn xác định trước (catalogue thương mại đối với cọc BTCT, lưới giá trị rời rạc đối với cọc thép), thay vì biến liên tục. Bài toán có ba biến thiết kế:</w:t>
      </w:r>
    </w:p>
    <w:p>
      <w:pPr>
        <w:tabs>
          <w:tab w:val="right" w:pos="9026"/>
        </w:tabs>
        <w:spacing w:after="80" w:before="80"/>
      </w:pPr>
      <w:r>
        <w:rPr>
          <w:rFonts w:ascii="Times New Roman" w:cs="Times New Roman" w:eastAsia="Times New Roman" w:hAnsi="Times New Roman"/>
          <w:i/>
          <w:iCs/>
          <w:sz w:val="20"/>
          <w:szCs w:val="20"/>
        </w:rPr>
        <w:t xml:space="preserve">    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với cận dưới và cận trên của từng biến thiết kế: CatIdx_BTCT ∈ {1, 2, 3} (cận dưới 1, cận trên 3, tương ứng D700–D900, Bảng 1); D_thép ∈ [0,900; 1,100] m, bước 0,025 m (cận dưới 0,900 m, cận trên 1,100 m, 9 giá trị); t_thép ∈ [0,012; 0,020] m, bước 0,001 m (cận dưới 0,012 m, cận trên 0,020 m, 9 giá trị).</w:t>
      </w:r>
    </w:p>
    <w:p>
      <w:pPr>
        <w:spacing w:after="40" w:before="40"/>
        <w:ind w:firstLine="284"/>
        <w:jc w:val="both"/>
      </w:pPr>
      <w:r>
        <w:rPr>
          <w:rFonts w:ascii="Times New Roman" w:cs="Times New Roman" w:eastAsia="Times New Roman" w:hAnsi="Times New Roman"/>
          <w:sz w:val="20"/>
          <w:szCs w:val="20"/>
        </w:rPr>
        <w:t xml:space="preserve">CatIdx_BTCT là chỉ số dòng trong catalogue cọc bê tông ly tâm dự ứng lực (PHC) của nhà sản xuất AMACCAO, theo TCVN 7888:2014 và JIS A 5373:2016 [2], giới hạn trong ba dòng nằm trong miền nghiên cứu ban đầu có đường kính từ 0,70 đến 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trong phạm vi cận trên/cận dưới nêu trên.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pPr>
      <w:r>
        <w:rPr>
          <w:rFonts w:ascii="Times New Roman" w:cs="Times New Roman" w:eastAsia="Times New Roman" w:hAnsi="Times New Roman"/>
          <w:i/>
          <w:iCs/>
          <w:sz w:val="20"/>
          <w:szCs w:val="20"/>
        </w:rPr>
        <w:t xml:space="preserve">    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pPr>
      <w:r>
        <w:rPr>
          <w:rFonts w:ascii="Times New Roman" w:cs="Times New Roman" w:eastAsia="Times New Roman" w:hAnsi="Times New Roman"/>
          <w:i/>
          <w:iCs/>
          <w:sz w:val="20"/>
          <w:szCs w:val="20"/>
        </w:rPr>
        <w:t xml:space="preserve">    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 Hai mục tiêu này phản ánh sự đánh đổi giữa yêu cầu giảm khối lượng vật liệu và yêu cầu bảo đảm độ cứng ngang cần thiết của hệ cọc, qua đó kiểm soát chuyển vị ngang của cầu tàu.</w:t>
      </w:r>
    </w:p>
    <w:p>
      <w:pPr>
        <w:spacing w:after="40" w:before="40"/>
        <w:ind w:firstLine="284"/>
        <w:jc w:val="both"/>
      </w:pPr>
      <w:r>
        <w:rPr>
          <w:rFonts w:ascii="Times New Roman" w:cs="Times New Roman" w:eastAsia="Times New Roman" w:hAnsi="Times New Roman"/>
          <w:sz w:val="20"/>
          <w:szCs w:val="20"/>
        </w:rPr>
        <w:t xml:space="preserve">Bốn nhóm ràng buộc được áp dụng: (i) tương tác lực dọc trục – mô men cọc BTCT theo đúng công thức do nhà sản xuất khuyến nghị cho cọc ly tâm dự ứng lực [2]:</w:t>
      </w:r>
    </w:p>
    <w:p>
      <w:pPr>
        <w:tabs>
          <w:tab w:val="right" w:pos="9026"/>
        </w:tabs>
        <w:spacing w:after="80" w:before="80"/>
      </w:pPr>
      <w:r>
        <w:rPr>
          <w:rFonts w:ascii="Times New Roman" w:cs="Times New Roman" w:eastAsia="Times New Roman" w:hAnsi="Times New Roman"/>
          <w:i/>
          <w:iCs/>
          <w:sz w:val="20"/>
          <w:szCs w:val="20"/>
        </w:rPr>
        <w:t xml:space="preserve">    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theo bản vẽ thiết kế (TCVN 9245:2012); (iii) chuyển vị ngang U_max/U_allow − 1 ≤ 0, với U_allow = 71,7 mm theo TCVN 11820-5:2021, Điều 8.9, Bảng 12 (1/300 chiều cao bến, H = 21,5 m, không vượt quá 100 mm); (iv) sức chịu tải địa kỹ thuật theo TCVN 10304:2025 — hiện được ghi nhận trong khung bài toán nhưng chưa triển khai tính toán đầy đủ do thiếu số liệu chỉ tiêu cơ lý đất nền chi tiết (mục 4.4). Các ràng buộc kết cấu và chuyển vị (i)-(iii) được áp dụng đầy đủ trong phạm vi dữ liệu hiện có; kiểm tra sức chịu tải địa kỹ thuật (iv) chưa được đưa vào đánh giá định lượng trong đợt tính toán tối ưu do thiếu đầy đủ thông số đất nền chi tiết. Do đó, kết quả tối ưu chỉ có giá trị trong phạm vi các ràng buộc đã được triển khai và chưa được sử dụng để thay thế kiểm tra địa kỹ thuật trong thiết kế chính thức.</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pPr>
      <w:r>
        <w:rPr>
          <w:rFonts w:ascii="Times New Roman" w:cs="Times New Roman" w:eastAsia="Times New Roman" w:hAnsi="Times New Roman"/>
          <w:i/>
          <w:iCs/>
          <w:sz w:val="20"/>
          <w:szCs w:val="20"/>
        </w:rPr>
        <w:t xml:space="preserve">    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Cách phạt nhân cho phép duy trì dạng thứ nguyên của từng hàm mục tiêu và hạn chế ảnh hưởng của sự khác biệt về thang đo giữa khối lượng và chuyển vị; khi P(x)=0 thì Fk=fk, tức phương án khả thi không chịu tác động của hàm phạt. Giá trị C = 10 được hiệu chỉnh qua các lần chạy thử của nghiên cứu này và giữ cố định trong toàn bộ đợt tính toán chính thức.</w:t>
      </w:r>
    </w:p>
    <w:p>
      <w:pPr>
        <w:keepNext/>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keepNext/>
        <w:spacing w:after="80" w:before="120"/>
      </w:pPr>
      <w:r>
        <w:rPr>
          <w:rFonts w:ascii="Times New Roman" w:cs="Times New Roman" w:eastAsia="Times New Roman" w:hAnsi="Times New Roman"/>
          <w:b/>
          <w:bCs/>
          <w:i/>
          <w:iCs/>
          <w:color w:val="990033"/>
          <w:sz w:val="22"/>
          <w:szCs w:val="22"/>
        </w:rPr>
        <w:t xml:space="preserve">3.3. Quy trình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được thực hiện theo chu trình: (1) MOFDA sinh phương án tiết diện; (2) MATLAB truyền biến thiết kế sang SAP2000 qua OAPI; (3) SAP2000 cập nhật mô hình và phân tích; (4) MATLAB nhận chuyển vị và nội lực trên tổ hợp bao; (5) tính hai hàm mục tiêu và kiểm tra vi phạm ràng buộc; (6) kết quả trả về MOFDA; (7) thuật toán tiếp tục tìm kiếm ở vòng lặp kế tiếp. Toàn bộ quá trình được song song hóa trên 8 tiến trình SAP2000 độc lập, mỗi tiến trình lưu một bản sao mô hình riêng để tránh xung đột khi ghi tệp. Số lượng tiến trình song song (8) được lựa chọn dựa trên khảo sát thực nghiệm sơ bộ trên máy tính sử dụng (14 lõi/28 luồng), do việc tăng thêm số tiến trình không mang lại hiệu quả tương xứng vì tranh chấp tài nguyên tính toán giữa các tiến trình SAP2000.</w:t>
      </w:r>
    </w:p>
    <w:p>
      <w:pPr>
        <w:keepNext/>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Do không gian thiết kế hiện tại chỉ gồm 243 tổ hợp — nhỏ hơn nhiều so với số lần đánh giá thông thường của một thuật toán quần thể — toàn bộ không gian được đánh giá trực tiếp qua cùng mô hình FEM để xây dựng mặt Pareto tham chiếu độc lập cho kết quả MOFDA. Đây là một bước kiểm chứng bổ sung, tận dụng đặc điểm không gian rời rạc nhỏ của bài toán này, không nhằm thay thế cho việc ứng dụng MOFDA và không phải một phương pháp cạnh tranh với thuật toán.</w:t>
      </w:r>
    </w:p>
    <w:p>
      <w:pPr>
        <w:keepNext/>
        <w:spacing w:after="80" w:before="160"/>
      </w:pPr>
      <w:r>
        <w:rPr>
          <w:rFonts w:ascii="Times New Roman" w:cs="Times New Roman" w:eastAsia="Times New Roman" w:hAnsi="Times New Roman"/>
          <w:b/>
          <w:bCs/>
          <w:color w:val="990033"/>
          <w:sz w:val="22"/>
          <w:szCs w:val="22"/>
        </w:rPr>
        <w:t xml:space="preserve">4. Kết quả và thảo luận</w:t>
      </w:r>
    </w:p>
    <w:p>
      <w:pPr>
        <w:keepNext/>
        <w:spacing w:after="80" w:before="120"/>
      </w:pPr>
      <w:r>
        <w:rPr>
          <w:rFonts w:ascii="Times New Roman" w:cs="Times New Roman" w:eastAsia="Times New Roman" w:hAnsi="Times New Roman"/>
          <w:b/>
          <w:bCs/>
          <w:i/>
          <w:iCs/>
          <w:color w:val="990033"/>
          <w:sz w:val="22"/>
          <w:szCs w:val="22"/>
        </w:rPr>
        <w:t xml:space="preserve">4.1. Mặt Pareto tham chiếu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tham chiếu thu được từ 243 tổ hợp thiết kế (16 nghiệm không bị trội)</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Pareto đều sử dụng đường kính cọc thép ở phía trên của miền khảo sát, D_thép = 1,075–1,100 m; chiều dày thay đổi trong khoảng t_thép = 0,018–0,020 m. Kết quả cho thấy trong miền thiết kế khảo sát, tăng kích thước cọc thép làm tăng độ cứng ngang của hệ và có xu hướng giảm chuyển vị, đồng thời làm tăng khối lượng vật liệu. Khối lượng vật liệu dao động 3.030,6–4.298,3 tấn ứng với chuyển vị ngang 11,92–13,88 mm — đều thấp hơn nhiều giới hạn cho phép 71,7 mm.</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2. Mặt Pareto tham chiếu của bài toán (16 nghiệm, liệt kê toàn bộ)</w:t>
      </w:r>
    </w:p>
    <w:p>
      <w:pPr>
        <w:keepNext/>
        <w:spacing w:after="80" w:before="120"/>
      </w:pPr>
      <w:r>
        <w:rPr>
          <w:rFonts w:ascii="Times New Roman" w:cs="Times New Roman" w:eastAsia="Times New Roman" w:hAnsi="Times New Roman"/>
          <w:b/>
          <w:bCs/>
          <w:i/>
          <w:iCs/>
          <w:color w:val="990033"/>
          <w:sz w:val="22"/>
          <w:szCs w:val="22"/>
        </w:rPr>
        <w:t xml:space="preserve">4.2. Đối chiếu kết quả MOFDA với mặt Pareto tham chiếu</w:t>
      </w:r>
    </w:p>
    <w:p>
      <w:pPr>
        <w:spacing w:after="40" w:before="40"/>
        <w:ind w:firstLine="284"/>
        <w:jc w:val="both"/>
      </w:pPr>
      <w:r>
        <w:rPr>
          <w:rFonts w:ascii="Times New Roman" w:cs="Times New Roman" w:eastAsia="Times New Roman" w:hAnsi="Times New Roman"/>
          <w:sz w:val="20"/>
          <w:szCs w:val="20"/>
        </w:rPr>
        <w:t xml:space="preserve">MOFDA được thực hiện một lần chạy chính thức, với quần thể 15 cá thể, 15 vòng lặp; ở mỗi vòng lặp, mỗi cá thể tạo ra β = 4 hướng dòng chảy lân cận cộng với 1 lần cập nhật chính (đặc thù cơ chế tìm kiếm của MOFDA), tương ứng tổng số lần đánh giá FEM là Np×[1 + maxiter×(β+1)] = 15×[1 + 15×5] = 1.140 lần. Thời gian thực hiện 5,35 giờ với 8 tiến trình song song, thu được 14 nghiệm không bị trội trong kho lưu trữ của lần chạy này. Đối chiếu trực tiếp với 16 nghiệm thuộc mặt Pareto tham chiếu: 8 trong 16 nghiệm (50%) được nhận diện chính xác, trùng khớp cả về biến thiết kế và giá trị hàm mục tiêu. Kết quả cho thấy thuật toán có khả năng hội tụ về vùng nghiệm Pareto của bài toán trong giới hạn số lần đánh giá được sử dụng. Sáu nghiệm còn lại là các nghiệm không bị trội trong tập nghiệm do thuật toán tìm được, nhưng bị trội bởi từ 1 đến 7 nghiệm khác khi xét toàn bộ không gian thiết kế — tức là các nghiệm gần vùng tối ưu nhưng chưa thuộc mặt Pareto tham chiếu.</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tham chiếu (16 nghiệm)</w:t>
      </w:r>
    </w:p>
    <w:p>
      <w:pPr>
        <w:spacing w:after="40" w:before="40"/>
        <w:ind w:firstLine="284"/>
        <w:jc w:val="both"/>
      </w:pPr>
      <w:r>
        <w:rPr>
          <w:rFonts w:ascii="Times New Roman" w:cs="Times New Roman" w:eastAsia="Times New Roman" w:hAnsi="Times New Roman"/>
          <w:sz w:val="20"/>
          <w:szCs w:val="20"/>
        </w:rPr>
        <w:t xml:space="preserve">Kết quả cho thấy MOFDA nhận diện được một phần đáng kể mặt Pareto tham chiếu trong giới hạn số lần đánh giá FEM được sử dụng, kể cả về cấu trúc biến thiết kế (ưu tiên chọn cọc thép kích thước lớn, đúng như mặt Pareto tham chiếu). Đối với bài toán có không gian thiết kế rời rạc nhỏ như trường hợp này, việc liệt kê toàn bộ không gian là khả thi và được sử dụng như một bước kiểm chứng độc lập cho kết quả MOFDA.</w:t>
      </w:r>
    </w:p>
    <w:p>
      <w:pPr>
        <w:keepNext/>
        <w:spacing w:after="80" w:before="120"/>
      </w:pPr>
      <w:r>
        <w:rPr>
          <w:rFonts w:ascii="Times New Roman" w:cs="Times New Roman" w:eastAsia="Times New Roman" w:hAnsi="Times New Roman"/>
          <w:b/>
          <w:bCs/>
          <w:i/>
          <w:iCs/>
          <w:color w:val="990033"/>
          <w:sz w:val="22"/>
          <w:szCs w:val="22"/>
        </w:rPr>
        <w:t xml:space="preserve">4.3. Lựa chọn các phương án đại diện trên mặt Pareto</w:t>
      </w:r>
    </w:p>
    <w:p>
      <w:pPr>
        <w:spacing w:after="40" w:before="40"/>
        <w:ind w:firstLine="284"/>
        <w:jc w:val="both"/>
      </w:pPr>
      <w:r>
        <w:rPr>
          <w:rFonts w:ascii="Times New Roman" w:cs="Times New Roman" w:eastAsia="Times New Roman" w:hAnsi="Times New Roman"/>
          <w:sz w:val="20"/>
          <w:szCs w:val="20"/>
        </w:rPr>
        <w:t xml:space="preserve">Mặt Pareto không xác định một nghiệm tối ưu duy nhất mà cung cấp các phương án thiết kế tương ứng với những mức độ đánh đổi khác nhau giữa khối lượng vật liệu cọc và chuyển vị ngang. Trong nghiên cứu này, ba phương án đại diện được lựa chọn theo ba xu hướng: ưu tiên giảm khối lượng, cân bằng giữa hai mục tiêu và ưu tiên kiểm soát chuyển vị. Việc lựa chọn này nhằm minh họa khả năng khai thác kết quả Pareto trong giai đoạn thiết kế sơ bộ, thay vì xác định một phương án tối ưu duy nhất cho công trình.</w:t>
      </w:r>
    </w:p>
    <w:p>
      <w:pPr>
        <w:spacing w:after="40" w:before="40"/>
        <w:ind w:firstLine="284"/>
        <w:jc w:val="both"/>
      </w:pPr>
      <w:r>
        <w:rPr>
          <w:rFonts w:ascii="Times New Roman" w:cs="Times New Roman" w:eastAsia="Times New Roman" w:hAnsi="Times New Roman"/>
          <w:sz w:val="20"/>
          <w:szCs w:val="20"/>
        </w:rPr>
        <w:t xml:space="preserve">Phương án 1 là phương án có khối lượng vật liệu nhỏ nhất trên mặt Pareto, với CatIdx = 1, đường kính cọc thép D_thép = 1,100 m và chiều dày t_thép = 0,018 m; khối lượng vật liệu đạt 3.030,6 tấn và chuyển vị ngang lớn nhất là 13,88 mm. Phương án này phù hợp khi ưu tiên giảm khối lượng vật liệu trong khi vẫn bảo đảm yêu cầu chuyển vị của bài toán.</w:t>
      </w:r>
    </w:p>
    <w:p>
      <w:pPr>
        <w:spacing w:after="40" w:before="40"/>
        <w:ind w:firstLine="284"/>
        <w:jc w:val="both"/>
      </w:pPr>
      <w:r>
        <w:rPr>
          <w:rFonts w:ascii="Times New Roman" w:cs="Times New Roman" w:eastAsia="Times New Roman" w:hAnsi="Times New Roman"/>
          <w:sz w:val="20"/>
          <w:szCs w:val="20"/>
        </w:rPr>
        <w:t xml:space="preserve">Phương án 2 là phương án có mức cân bằng tương đối giữa hai mục tiêu, với CatIdx = 2, D_thép = 1,100 m và t_thép = 0,019 m; khối lượng vật liệu là 3.634,5 tấn và chuyển vị ngang lớn nhất là 12,86 mm. Đây là phương án trung gian được lựa chọn để minh họa sự đánh đổi giữa hai mục tiêu.</w:t>
      </w:r>
    </w:p>
    <w:p>
      <w:pPr>
        <w:spacing w:after="40" w:before="40"/>
        <w:ind w:firstLine="284"/>
        <w:jc w:val="both"/>
      </w:pPr>
      <w:r>
        <w:rPr>
          <w:rFonts w:ascii="Times New Roman" w:cs="Times New Roman" w:eastAsia="Times New Roman" w:hAnsi="Times New Roman"/>
          <w:sz w:val="20"/>
          <w:szCs w:val="20"/>
        </w:rPr>
        <w:t xml:space="preserve">Phương án 3 là phương án có chuyển vị ngang nhỏ nhất trên mặt Pareto, với CatIdx = 3, D_thép = 1,100 m và t_thép = 0,020 m; khối lượng vật liệu là 4.298,3 tấn và chuyển vị ngang lớn nhất là 11,92 mm. Phương án này thể hiện xu hướng ưu tiên tăng độ cứng và kiểm soát chuyển vị ngang.</w:t>
      </w:r>
    </w:p>
    <w:p>
      <w:pPr>
        <w:spacing w:after="40" w:before="40"/>
        <w:ind w:firstLine="284"/>
        <w:jc w:val="both"/>
      </w:pPr>
      <w:r>
        <w:rPr>
          <w:rFonts w:ascii="Times New Roman" w:cs="Times New Roman" w:eastAsia="Times New Roman" w:hAnsi="Times New Roman"/>
          <w:sz w:val="20"/>
          <w:szCs w:val="20"/>
        </w:rPr>
        <w:t xml:space="preserve">Ba phương án trên không được xem là ba phương án tối ưu độc lập mà là các điểm đại diện cho ba mức độ ưu tiên khác nhau trên cùng một mặt Pareto. Việc lựa chọn phương án cụ thể trong thực tế cần căn cứ vào yêu cầu kỹ thuật, mức độ ưu tiên về vật liệu và các điều kiện thiết kế bổ sung của dự án.</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3. Ba phương án đại diện trên mặt Pareto</w:t>
      </w:r>
    </w:p>
    <w:tbl>
      <w:tblPr>
        <w:tblW w:type="dxa" w:w="7000"/>
        <w:tblBorders>
          <w:top w:val="single" w:sz="4"/>
          <w:left w:val="single" w:sz="4"/>
          <w:bottom w:val="single" w:sz="4"/>
          <w:right w:val="single" w:sz="4"/>
          <w:insideH w:val="single" w:sz="2"/>
          <w:insideV w:val="single" w:sz="2"/>
        </w:tblBorders>
      </w:tblPr>
      <w:tblGrid>
        <w:gridCol w:w="700"/>
        <w:gridCol w:w="1800"/>
        <w:gridCol w:w="700"/>
        <w:gridCol w:w="900"/>
        <w:gridCol w:w="900"/>
        <w:gridCol w:w="1000"/>
        <w:gridCol w:w="1000"/>
      </w:tblGrid>
      <w:tr>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Phương án</w:t>
            </w:r>
          </w:p>
        </w:tc>
        <w:tc>
          <w:tcPr>
            <w:tcW w:type="dxa" w:w="18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Tiêu chí lựa chọn</w:t>
            </w:r>
          </w:p>
        </w:tc>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PA1</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Khối lượng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PA2</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Cân bằng tương đối</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PA3</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Chuyển vị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Bảng 3 cho thấy khi chuyển từ PA1 sang PA3, khối lượng vật liệu tăng từ 3.030,6 lên 4.298,3 tấn, trong khi chuyển vị ngang giảm từ 13,88 xuống 11,92 mm. PA2 nằm giữa hai xu hướng này và thể hiện một mức đánh đổi trung gian. Như vậy, kết quả tối ưu đa mục tiêu không chỉ cung cấp một giá trị đơn lẻ mà còn cho phép người thiết kế xem xét nhiều phương án theo mức độ ưu tiên khác nhau.</w:t>
      </w:r>
    </w:p>
    <w:p>
      <w:pPr>
        <w:keepNext/>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đợt tính toán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không làm thay đổi kết luận về khả năng ứng dụng của MOFDA nhưng cần được bổ sung trước khi sử dụng kết quả số cho thiết kế thi công. Kết quả tối ưu không được sử dụng trực tiếp để thay thế hồ sơ thiết kế thi công.</w:t>
      </w:r>
    </w:p>
    <w:p>
      <w:pPr>
        <w:keepNext/>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thuật toán tối ưu đa mục tiêu MOFDA — một thuật toán đã được công bố, không phát triển hay điều chỉnh thêm trong nghiên cứu này — để hỗ trợ lựa chọn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Đã hình thành bài toán tối ưu rời rạc cho tiết diện hệ cọc (chỉ số catalogue cọc BTCT và kích thước cọc thép rời rạc hóa) của một cầu tàu container thực tế, với các ràng buộc kết cấu và chuyển vị được xây dựng theo các tiêu chuẩn Việt Nam áp dụng trong nghiên cứu (TCVN 7888:2014, TCVN 11820-5:2021, TCVN 9245:2012).</w:t>
      </w:r>
    </w:p>
    <w:p>
      <w:pPr>
        <w:spacing w:after="40" w:before="40"/>
        <w:ind w:firstLine="284"/>
        <w:jc w:val="both"/>
      </w:pPr>
      <w:r>
        <w:rPr>
          <w:rFonts w:ascii="Times New Roman" w:cs="Times New Roman" w:eastAsia="Times New Roman" w:hAnsi="Times New Roman"/>
          <w:sz w:val="20"/>
          <w:szCs w:val="20"/>
        </w:rPr>
        <w:t xml:space="preserve">(2) Đã xây dựng được quy trình kết nối MOFDA–MATLAB–SAP2000, cho phép tự động đánh giá từng phương án bằng mô hình FEM; do không gian thiết kế của bài toán chỉ gồm 243 tổ hợp, toàn bộ không gian cũng được liệt kê để xây dựng mặt Pareto tham chiếu độc lập gồm 16 nghiệm.</w:t>
      </w:r>
    </w:p>
    <w:p>
      <w:pPr>
        <w:spacing w:after="40" w:before="40"/>
        <w:ind w:firstLine="284"/>
        <w:jc w:val="both"/>
      </w:pPr>
      <w:r>
        <w:rPr>
          <w:rFonts w:ascii="Times New Roman" w:cs="Times New Roman" w:eastAsia="Times New Roman" w:hAnsi="Times New Roman"/>
          <w:sz w:val="20"/>
          <w:szCs w:val="20"/>
        </w:rPr>
        <w:t xml:space="preserve">(3) Mặt Pareto thu được cho thấy rõ sự đánh đổi giữa khối lượng vật liệu cọc (3.030,6–4.298,3 tấn) và chuyển vị ngang (11,9–13,9 mm) — đều thấp hơn nhiều giới hạn cho phép 71,7 mm theo TCVN 11820-5:2021.</w:t>
      </w:r>
    </w:p>
    <w:p>
      <w:pPr>
        <w:spacing w:after="40" w:before="40"/>
        <w:ind w:firstLine="284"/>
        <w:jc w:val="both"/>
      </w:pPr>
      <w:r>
        <w:rPr>
          <w:rFonts w:ascii="Times New Roman" w:cs="Times New Roman" w:eastAsia="Times New Roman" w:hAnsi="Times New Roman"/>
          <w:sz w:val="20"/>
          <w:szCs w:val="20"/>
        </w:rPr>
        <w:t xml:space="preserve">(4) MOFDA nhận diện được 8 trong 16 nghiệm thuộc mặt Pareto tham chiếu, cho thấy khả năng ứng dụng thuật toán vào bài toán kết cấu thực tế trong phạm vi nghiên cứu, dù chưa bao phủ hết không gian nghiệm tối ưu với ngân sách đánh giá đã dùng.</w:t>
      </w:r>
    </w:p>
    <w:p>
      <w:pPr>
        <w:spacing w:after="40" w:before="40"/>
        <w:ind w:firstLine="284"/>
        <w:jc w:val="both"/>
      </w:pPr>
      <w:r>
        <w:rPr>
          <w:rFonts w:ascii="Times New Roman" w:cs="Times New Roman" w:eastAsia="Times New Roman" w:hAnsi="Times New Roman"/>
          <w:sz w:val="20"/>
          <w:szCs w:val="20"/>
        </w:rPr>
        <w:t xml:space="preserve">(5) Mặt Pareto cung cấp cơ sở để lựa chọn phương án sơ bộ theo các mức độ ưu tiên khác nhau. Ba phương án đại diện được lựa chọn tương ứng với xu hướng giảm khối lượng, cân bằng hai mục tiêu và kiểm soát chuyển vị, qua đó minh họa khả năng sử dụng kết quả tối ưu đa mục tiêu trong hỗ trợ quyết định ở giai đoạn thiết kế sơ bộ. Trước khi áp dụng cho thiết kế chính thức, cần bổ sung các kiểm tra còn thiếu, đặc biệt là kiểm tra sức chịu tải địa kỹ thuật.</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(2026), Real-World Steel Frame Optimization Using a Hybrid Leader Selection-Based Multi-Objective Flow Direction Algorithm, Trường Đại học Mở Thành phố Hồ Chí Minh.</w:t>
      </w:r>
    </w:p>
    <w:p>
      <w:pPr>
        <w:spacing w:after="20" w:before="20"/>
        <w:ind w:left="284" w:hanging="284"/>
        <w:jc w:val="both"/>
      </w:pPr>
      <w:r>
        <w:rPr>
          <w:rFonts w:ascii="Times New Roman" w:cs="Times New Roman" w:eastAsia="Times New Roman" w:hAnsi="Times New Roman"/>
          <w:sz w:val="20"/>
          <w:szCs w:val="20"/>
        </w:rPr>
        <w:t xml:space="preserve">[2] AMACCAO PILE (2014), Catalogue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(2020), TCVN 11820-4-1:2020 — Công trình cảng biển – Yêu cầu thiết kế – Phần 4-1: Nền móng.</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[6]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ccfd02b8155d2bcfe29896faad19583fb03b18.png"/><Relationship Id="rId8" Type="http://schemas.openxmlformats.org/officeDocument/2006/relationships/image" Target="media/e4609ac2c3c7024ef009268cc6ffecd7600943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2026-09-04T14:36:51.136Z</dcterms:created>
  <dcterms:modified xsi:type="dcterms:W3CDTF">2026-09-04T14:36:51.137Z</dcterms:modified>
</cp:coreProperties>
</file>

<file path=docProps/custom.xml><?xml version="1.0" encoding="utf-8"?>
<Properties xmlns="http://schemas.openxmlformats.org/officeDocument/2006/custom-properties" xmlns:vt="http://schemas.openxmlformats.org/officeDocument/2006/docPropsVTypes"/>
</file>