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0" w:line="360" w:lineRule="atLeast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Multi-Objective Optimization of Pile-System Cross-Sections for a 100,000-DWT Container Wharf: A Comparison Between MOFDA and MOSFOA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Thanh Do-Quang¹,*, T. Vu-Huu¹, Thanh Cuong-Le²</w:t>
      </w:r>
    </w:p>
    <w:p>
      <w:pPr>
        <w:spacing w:after="200" w:line="220" w:lineRule="atLeast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18"/>
          <w:szCs w:val="18"/>
        </w:rPr>
        <w:t xml:space="preserve">¹ Faculty of Civil Engineering, Vietnam Maritime University, Haiphong City, Vietnam</w:t>
      </w:r>
      <w:r>
        <w:br/>
        <w:t xml:space="preserve"/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18"/>
          <w:szCs w:val="18"/>
        </w:rPr>
        <w:t xml:space="preserve">² Faculty of Civil Engineering and Electricity, Ho Chi Minh City Open University, Vietnam</w:t>
      </w:r>
      <w:r>
        <w:br/>
        <w:t xml:space="preserve"/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18"/>
          <w:szCs w:val="18"/>
        </w:rPr>
        <w:t xml:space="preserve">*Corresponding author: thanhdq.ctt@viamru.edu.vn</w:t>
      </w:r>
    </w:p>
    <w:p>
      <w:pPr>
        <w:spacing w:after="360" w:before="600" w:line="220" w:lineRule="atLeast"/>
        <w:ind w:left="567" w:right="567"/>
        <w:jc w:val="both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Abstract.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Pile-supported container wharves carry a large mass of pile material, so a pile cross-section can be selected through constrained multi-objective optimization rather than experience alone. This study formulates a discrete multi-objective problem for the cross-sections of prestressed spun-concrete piles and steel pipe piles at an actual 100,000-DWT container wharf (4,080 combinations), subject to structural constraints, a geotechnical bearing-capacity constraint under TCVN 10304:2025, and a pile-uplift constraint. Material mass and maximum lateral displacement are evaluated through a SAP2000 model coupled with MATLAB via OAPI. Two multi-objective metaheuristics previously reported by the same group, MOFDA (flow-direction search, hybrid leader selection) and MOSFOA (starfish-inspired search, run here as the enhanced E-MOSFOA variant), are compared on the identical problem, model, objectives, constraints and evaluation budget (12,550 finite-element calls/run, 30 independent runs each), benchmarked against a reference Pareto front from an exhaustive search of all 4,080 combinations (59 non-dominated solutions). E-MOSFOA converges faster and approaches the reference front more closely under the same budget (mean normalised IGD 0.000100 versus 0.000506 for MOFDA; Wilcoxon rank-sum p = 1.07×10⁻¹⁰), reaching the stable hypervolume region after only about 1,000–1,500 evaluations against roughly 5,000–7,000 for MOFDA, and attains higher, steadier coverage of the reference front (98.76% ± 0.88% versus 89.27% ± 4.46%). These findings offer a quantitative reference for algorithm selection in similarly constrained pile-cross-section design problems for port structures.</w:t>
      </w:r>
    </w:p>
    <w:p>
      <w:pPr>
        <w:spacing w:before="220"/>
        <w:ind w:left="567" w:right="567"/>
        <w:jc w:val="lef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Keywords: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multi-objective optimization; MOFDA algorithm; MOSFOA algorithm; pile cross-section design; pile-supported container wharf; SAP2000–MATLAB coupling.</w:t>
      </w:r>
    </w:p>
    <w:p>
      <w:pPr>
        <w:keepNext/>
        <w:keepLines/>
        <w:spacing w:after="240" w:before="360" w:line="300" w:lineRule="atLeast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Introduction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Pile-supported container wharves are a common structural form for large-tonnage seaports in Vietnam, and the pile system — prestressed spun-concrete (PHC) piles combined with steel pipe piles — dominates both load-bearing function and material cost. Constrained multi-objective optimization coupled with a finite-element model lets the trade-off between material mass and displacement be explored systematically rather than only verified for a single, experience-based design, following a broader shift toward evolutionary multi-objective optimization in engineering design [8].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Two metaheuristic-based multi-objective algorithms have been developed and reported by this group: MOFDA, a flow-direction algorithm with hybrid leader selection, validated on benchmark functions, constrained engineering problems and a steel-frame structure [1]; and MOSFOA, a starfish-inspired algorithm offered as B-MOSFOA and the enhanced E-MOSFOA, validated on IMOP/UF/RM-MEDA benchmarks and a separate port structure [2]. Each was verified on a different structure under non-identical conditions, so no direct comparison had existed. This paper asks: under the same MATLAB–SAP2000 evaluation system, objectives, constraints and finite-element budget, how do MOFDA and MOSFOA differ in solution quality and convergence speed on one real pile-cross-section design problem — the 100,000-DWT Lach Huyen container wharf, 4,080 design combinations, structural and geotechnical constraints (TCVN 10304:2025) and pile uplift? The contributions are: (i) a discrete optimization formulation with structural, geotechnical and uplift constraints; (ii) an exhaustive reference Pareto front independent of either algorithm's search; and (iii) a quantitative comparison of MOFDA and E-MOSFOA via IGD, hypervolume, Pareto coverage, the Wilcoxon rank-sum test and FE-based convergence curves, with conclusions drawn only from the data in Section 3.</w:t>
      </w:r>
    </w:p>
    <w:p>
      <w:pPr>
        <w:keepNext/>
        <w:keepLines/>
        <w:spacing w:after="240" w:before="360" w:line="300" w:lineRule="atLeast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Research Method</w:t>
      </w:r>
    </w:p>
    <w:p>
      <w:pPr>
        <w:keepNext/>
        <w:keepLines/>
        <w:spacing w:after="160" w:before="36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2.1. Structure, Finite-Element Model and Design Variables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The structure is a 100,000-DWT container wharf of the Lach Huyen international gateway port, Haiphong — an onshore quay on a high-piled deck. The analysed segment is about 75 m long, deck-top at +5.50 m, dredged bed at −16.0 m, for a design vessel of 330 m length and 14.8 m draught. Each segment has 132 prestressed spun-concrete piles and 60 steel pipe piles (D1016), 192 in total; pile cross-section is the design variable, applied uniformly per pile type, with position, rake and embedment length held fixed so that geotechnical constraints stay consistent across combinations. A linear-static SAP2000 model (4,913 joints, 1,734 frame and 4,488 shell elements) provides displacements and forces under the governing envelope combination "BAO KT"; the storm combination is outside this envelope and outside the present scope (Section 3.3). The pile tips sit in a stiff clay/weathered claystone layer (concrete piles) and a strongly fractured weathered rock layer (steel piles); pile-group interaction is not considered.</w:t>
      </w:r>
    </w:p>
    <w:p>
      <w:pPr>
        <w:keepNext/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24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[Insert Fig. 1 – SAP2000 model image here]</w:t>
      </w:r>
    </w:p>
    <w:p>
      <w:pPr>
        <w:spacing w:after="240" w:before="120" w:line="220" w:lineRule="atLeast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Fig. 1.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SAP2000 model of the 100,000-DWT container wharf.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Three discrete design variables are used:</w:t>
      </w:r>
    </w:p>
    <w:p>
      <w:pPr>
        <w:tabs>
          <w:tab w:val="center" w:pos="3458"/>
          <w:tab w:val="right" w:pos="6916"/>
        </w:tabs>
        <w:spacing w:after="160" w:before="1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 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)</m:t>
        </m:r>
      </m:oMath>
      <w:r>
        <w:rPr>
          <w:rFonts w:ascii="Times New Roman" w:cs="Times New Roman" w:eastAsia="Times New Roman" w:hAnsi="Times New Roman"/>
          <w:sz w:val="20"/>
          <w:szCs w:val="20"/>
        </w:rPr>
        <w:t xml:space="preserve">	(1)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where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and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denote the concrete-pile catalogue index, steel-pile diameter, and steel-pile wall thickness, respectively, with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(indexing a row of the AMACCAO PHC-pile catalogue, Table 1, TCVN 7888:2014/JIS A 5373:2016 [3]),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0.800</m:t>
        </m:r>
        <m:r>
          <m:rPr>
            <m:sty m:val="p"/>
          </m:rPr>
          <m:t>,</m:t>
        </m:r>
        <m:r>
          <m:t>1.300</m:t>
        </m:r>
        <m:r>
          <m:rPr>
            <m:sty m:val="p"/>
          </m:rPr>
          <m:t>]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m (step 0.01 m, 51 values), and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0.010</m:t>
        </m:r>
        <m:r>
          <m:rPr>
            <m:sty m:val="p"/>
          </m:rPr>
          <m:t>,</m:t>
        </m:r>
        <m:r>
          <m:t>0.025</m:t>
        </m:r>
        <m:r>
          <m:rPr>
            <m:sty m:val="p"/>
          </m:rPr>
          <m:t>]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m (step 0.001 m, 16 values) — giving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5 × 51 × 16 =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4,080 combinations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.</w:t>
      </w:r>
    </w:p>
    <w:p>
      <w:pPr>
        <w:keepNext/>
        <w:keepLines/>
        <w:spacing w:after="120" w:before="240" w:line="220" w:lineRule="atLeast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Table 1.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AMACCAO PHC-pile catalogue used (Class A, TCVN 7888:2014)</w:t>
      </w:r>
    </w:p>
    <w:tbl>
      <w:tblPr>
        <w:tblW w:type="dxa" w:w="691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999999" w:sz="2"/>
          <w:insideV w:val="single" w:color="999999" w:sz="2"/>
        </w:tblBorders>
      </w:tblPr>
      <w:tblGrid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98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CatIdx</w:t>
            </w:r>
          </w:p>
        </w:tc>
        <w:tc>
          <w:tcPr>
            <w:tcW w:type="dxa" w:w="98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D (m)</w:t>
            </w:r>
          </w:p>
        </w:tc>
        <w:tc>
          <w:tcPr>
            <w:tcW w:type="dxa" w:w="98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 (m)</w:t>
            </w:r>
          </w:p>
        </w:tc>
        <w:tc>
          <w:tcPr>
            <w:tcW w:type="dxa" w:w="98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A (m²)</w:t>
            </w:r>
          </w:p>
        </w:tc>
        <w:tc>
          <w:tcPr>
            <w:tcW w:type="dxa" w:w="98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Mcr (t·m)</w:t>
            </w:r>
          </w:p>
        </w:tc>
        <w:tc>
          <w:tcPr>
            <w:tcW w:type="dxa" w:w="98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Mu (t·m)</w:t>
            </w:r>
          </w:p>
        </w:tc>
        <w:tc>
          <w:tcPr>
            <w:tcW w:type="dxa" w:w="98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Pvl (t)</w:t>
            </w:r>
          </w:p>
        </w:tc>
      </w:tr>
      <w:tr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0.600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0.100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0.15708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17.00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25.51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380</w:t>
            </w:r>
          </w:p>
        </w:tc>
      </w:tr>
      <w:tr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0.700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0.110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0.20389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26.00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39.00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500</w:t>
            </w:r>
          </w:p>
        </w:tc>
      </w:tr>
      <w:tr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0.800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0.120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0.25635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37.00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55.50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680</w:t>
            </w:r>
          </w:p>
        </w:tc>
      </w:tr>
      <w:tr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0.900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0.130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0.31447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48.95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73.42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880</w:t>
            </w:r>
          </w:p>
        </w:tc>
      </w:tr>
      <w:tr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0.130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0.35531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62.22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93.32</w:t>
            </w:r>
          </w:p>
        </w:tc>
        <w:tc>
          <w:tcPr>
            <w:tcW w:type="dxa" w:w="9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1,100</w:t>
            </w:r>
          </w:p>
        </w:tc>
      </w:tr>
    </w:tbl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The objective vector is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where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M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is the total pile material mass and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is the maximum lateral displacement:</w:t>
      </w:r>
    </w:p>
    <w:p>
      <w:pPr>
        <w:tabs>
          <w:tab w:val="center" w:pos="3458"/>
          <w:tab w:val="right" w:pos="6916"/>
        </w:tabs>
        <w:spacing w:after="160" w:before="1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B</m:t>
            </m:r>
            <m:r>
              <m:t>T</m:t>
            </m:r>
            <m:r>
              <m:t>C</m:t>
            </m:r>
            <m:r>
              <m:t>T</m:t>
            </m:r>
          </m:sub>
        </m:sSub>
        <m:r>
          <m:t> </m:t>
        </m:r>
        <m:r>
          <m:rPr>
            <m:sty m:val="p"/>
          </m:rPr>
          <m:t>Σ</m:t>
        </m:r>
        <m:sSub>
          <m:e>
            <m:r>
              <m:t>L</m:t>
            </m:r>
          </m:e>
          <m:sub>
            <m:r>
              <m:t>B</m:t>
            </m:r>
            <m:r>
              <m:t>T</m:t>
            </m:r>
            <m:r>
              <m:t>C</m:t>
            </m:r>
            <m:r>
              <m:t>T</m:t>
            </m:r>
          </m:sub>
        </m:sSub>
        <m:r>
          <m:t> </m:t>
        </m:r>
        <m:sSub>
          <m:e>
            <m:r>
              <m:t>γ</m:t>
            </m:r>
          </m:e>
          <m:sub>
            <m:r>
              <m:t>c</m:t>
            </m:r>
            <m:r>
              <m:t>o</m:t>
            </m:r>
            <m:r>
              <m:t>n</m:t>
            </m:r>
            <m:r>
              <m:t>c</m:t>
            </m:r>
            <m:r>
              <m:t>r</m:t>
            </m:r>
            <m:r>
              <m:t>e</m:t>
            </m:r>
            <m:r>
              <m:t>t</m:t>
            </m:r>
            <m:r>
              <m:t>e</m:t>
            </m:r>
          </m:sub>
        </m:sSub>
        <m:r>
          <m:rPr>
            <m:sty m:val="p"/>
          </m:rPr>
          <m:t>+</m:t>
        </m:r>
        <m:r>
          <m:t>A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s</m:t>
            </m:r>
            <m:r>
              <m:t>t</m:t>
            </m:r>
            <m:r>
              <m:t>e</m:t>
            </m:r>
            <m:r>
              <m:t>e</m:t>
            </m:r>
            <m:r>
              <m:t>l</m:t>
            </m:r>
          </m:sub>
        </m:sSub>
        <m:r>
          <m:t> </m:t>
        </m:r>
        <m:r>
          <m:rPr>
            <m:sty m:val="p"/>
          </m:rPr>
          <m:t>Σ</m:t>
        </m:r>
        <m:sSub>
          <m:e>
            <m:r>
              <m:t>L</m:t>
            </m:r>
          </m:e>
          <m:sub>
            <m:r>
              <m:t>s</m:t>
            </m:r>
            <m:r>
              <m:t>t</m:t>
            </m:r>
            <m:r>
              <m:t>e</m:t>
            </m:r>
            <m:r>
              <m:t>e</m:t>
            </m:r>
            <m:r>
              <m:t>l</m:t>
            </m:r>
          </m:sub>
        </m:sSub>
        <m:r>
          <m:t> </m:t>
        </m:r>
        <m:sSub>
          <m:e>
            <m:r>
              <m:t>γ</m:t>
            </m:r>
          </m:e>
          <m:sub>
            <m:r>
              <m:t>s</m:t>
            </m:r>
            <m:r>
              <m:t>t</m:t>
            </m:r>
            <m:r>
              <m:t>e</m:t>
            </m:r>
            <m:r>
              <m:t>e</m:t>
            </m:r>
            <m:r>
              <m:t>l</m:t>
            </m:r>
          </m:sub>
        </m:sSub>
      </m:oMath>
      <w:r>
        <w:rPr>
          <w:rFonts w:ascii="Times New Roman" w:cs="Times New Roman" w:eastAsia="Times New Roman" w:hAnsi="Times New Roman"/>
          <w:sz w:val="20"/>
          <w:szCs w:val="20"/>
        </w:rPr>
        <w:t xml:space="preserve">	(2)</w:t>
      </w:r>
    </w:p>
    <w:p>
      <w:pPr>
        <w:tabs>
          <w:tab w:val="center" w:pos="3458"/>
          <w:tab w:val="right" w:pos="6916"/>
        </w:tabs>
        <w:spacing w:after="160" w:before="1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bSup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e>
            </m:rad>
          </m:e>
        </m:d>
      </m:oMath>
      <w:r>
        <w:rPr>
          <w:rFonts w:ascii="Times New Roman" w:cs="Times New Roman" w:eastAsia="Times New Roman" w:hAnsi="Times New Roman"/>
          <w:sz w:val="20"/>
          <w:szCs w:val="20"/>
        </w:rPr>
        <w:t xml:space="preserve">	(3)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with </w:t>
      </w:r>
      <m:oMath>
        <m:sSub>
          <m:e>
            <m:r>
              <m:t>γ</m:t>
            </m:r>
          </m:e>
          <m:sub>
            <m:r>
              <m:t>c</m:t>
            </m:r>
            <m:r>
              <m:t>o</m:t>
            </m:r>
            <m:r>
              <m:t>n</m:t>
            </m:r>
            <m:r>
              <m:t>c</m:t>
            </m:r>
            <m:r>
              <m:t>r</m:t>
            </m:r>
            <m:r>
              <m:t>e</m:t>
            </m:r>
            <m:r>
              <m:t>t</m:t>
            </m:r>
            <m:r>
              <m:t>e</m:t>
            </m:r>
          </m:sub>
        </m:sSub>
        <m:r>
          <m:rPr>
            <m:sty m:val="p"/>
          </m:rPr>
          <m:t>=</m:t>
        </m:r>
        <m:r>
          <m:t>2.5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t/m³, </w:t>
      </w:r>
      <m:oMath>
        <m:sSub>
          <m:e>
            <m:r>
              <m:t>γ</m:t>
            </m:r>
          </m:e>
          <m:sub>
            <m:r>
              <m:t>s</m:t>
            </m:r>
            <m:r>
              <m:t>t</m:t>
            </m:r>
            <m:r>
              <m:t>e</m:t>
            </m:r>
            <m:r>
              <m:t>e</m:t>
            </m:r>
            <m:r>
              <m:t>l</m:t>
            </m:r>
          </m:sub>
        </m:sSub>
        <m:r>
          <m:rPr>
            <m:sty m:val="p"/>
          </m:rPr>
          <m:t>=</m:t>
        </m:r>
        <m:r>
          <m:t>7.85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t/m³, under the "BAO KT" envelope.</w:t>
      </w:r>
    </w:p>
    <w:p>
      <w:pPr>
        <w:keepNext/>
        <w:keepLines/>
        <w:spacing w:after="160" w:before="36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2.2. Constraints and Reference Pareto Front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Five constraints,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(i = 1,…,5), are imposed: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– concrete-pile axial force–moment interaction;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– steel-pile stress; </w:t>
      </w:r>
      <m:oMath>
        <m:sSub>
          <m:e>
            <m:r>
              <m:t>g</m:t>
            </m:r>
          </m:e>
          <m:sub>
            <m:r>
              <m:t>3</m:t>
            </m:r>
          </m:sub>
        </m:sSub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– lateral displacement; </w:t>
      </w:r>
      <m:oMath>
        <m:sSub>
          <m:e>
            <m:r>
              <m:t>g</m:t>
            </m:r>
          </m:e>
          <m:sub>
            <m:r>
              <m:t>4</m:t>
            </m:r>
          </m:sub>
        </m:sSub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– geotechnical bearing capacity (TCVN 10304:2025 [5]); </w:t>
      </w:r>
      <m:oMath>
        <m:sSub>
          <m:e>
            <m:r>
              <m:t>g</m:t>
            </m:r>
          </m:e>
          <m:sub>
            <m:r>
              <m:t>5</m:t>
            </m:r>
          </m:sub>
        </m:sSub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– pile uplift. Using catalogue values directly,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: </w:t>
      </w:r>
      <m:oMath>
        <m:r>
          <m:t>N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v</m:t>
            </m:r>
            <m:r>
              <m:t>l</m:t>
            </m:r>
          </m:sub>
        </m:sSub>
        <m:r>
          <m:rPr>
            <m:sty m:val="p"/>
          </m:rPr>
          <m:t>+</m:t>
        </m:r>
        <m:r>
          <m:t>M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u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0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(4);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: </w:t>
      </w:r>
      <m:oMath>
        <m:r>
          <m:t>σ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/</m:t>
        </m:r>
        <m:r>
          <m:t>W</m:t>
        </m:r>
        <m:r>
          <m:rPr>
            <m:sty m:val="p"/>
          </m:rPr>
          <m:t>≤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γ</m:t>
            </m:r>
          </m:e>
          <m:sub>
            <m:r>
              <m:t>M</m:t>
            </m:r>
          </m:sub>
        </m:sSub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(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150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kg/cm² [6], </w:t>
      </w:r>
      <m:oMath>
        <m:sSub>
          <m:e>
            <m:r>
              <m:t>γ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1.05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); </w:t>
      </w:r>
      <m:oMath>
        <m:sSub>
          <m:e>
            <m:r>
              <m:t>g</m:t>
            </m:r>
          </m:e>
          <m:sub>
            <m:r>
              <m:t>3</m:t>
            </m:r>
          </m:sub>
        </m:sSub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: </w:t>
      </w:r>
      <m:oMath>
        <m:sSub>
          <m:e>
            <m:r>
              <m:t>U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/</m:t>
        </m:r>
        <m:sSub>
          <m:e>
            <m:r>
              <m:t>U</m:t>
            </m:r>
          </m:e>
          <m:sub>
            <m:r>
              <m:t>a</m:t>
            </m:r>
            <m:r>
              <m:t>l</m:t>
            </m:r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0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(</w:t>
      </w:r>
      <m:oMath>
        <m:sSub>
          <m:e>
            <m:r>
              <m:t>U</m:t>
            </m:r>
          </m:e>
          <m:sub>
            <m:r>
              <m:t>a</m:t>
            </m:r>
            <m:r>
              <m:t>l</m:t>
            </m:r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r>
          <m:t>71.7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mm, TCVN 11820-5:2021 [4]). </w:t>
      </w:r>
      <m:oMath>
        <m:sSub>
          <m:e>
            <m:r>
              <m:t>g</m:t>
            </m:r>
          </m:e>
          <m:sub>
            <m:r>
              <m:t>4</m:t>
            </m:r>
          </m:sub>
        </m:sSub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applies a friction-pile formula for the concrete pile (clay tip) and an end-bearing-on-rock formula for the steel pile (fractured-rock tip, strength-reduction factor </w:t>
      </w:r>
      <m:oMath>
        <m:sSub>
          <m:e>
            <m:r>
              <m:t>K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0.32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a conservative value adopted for lack of measured RQD), checked as </w:t>
      </w:r>
      <m:oMath>
        <m:sSub>
          <m:e>
            <m:r>
              <m:t>γ</m:t>
            </m:r>
          </m:e>
          <m:sub>
            <m:r>
              <m:t>n</m:t>
            </m:r>
          </m:sub>
        </m:sSub>
        <m:sSub>
          <m:e>
            <m:r>
              <m:t>N</m:t>
            </m:r>
          </m:e>
          <m:sub>
            <m:r>
              <m:t>d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γ</m:t>
            </m:r>
          </m:e>
          <m:sub>
            <m:r>
              <m:t>k</m:t>
            </m:r>
          </m:sub>
        </m:sSub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(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1.4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</w:t>
      </w:r>
      <m:oMath>
        <m:sSub>
          <m:e>
            <m:r>
              <m:t>γ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1.15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consequence class C2). </w:t>
      </w:r>
      <m:oMath>
        <m:sSub>
          <m:e>
            <m:r>
              <m:t>g</m:t>
            </m:r>
          </m:e>
          <m:sub>
            <m:r>
              <m:t>5</m:t>
            </m:r>
          </m:sub>
        </m:sSub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an uplift check (18/360 steel piles found in tension, up to ≈31 t), uses shaft friction only (</w:t>
      </w:r>
      <m:oMath>
        <m:sSub>
          <m:e>
            <m:r>
              <m:t>γ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0.8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). All violations are combined into one penalty applied to both objectives:</w:t>
      </w:r>
    </w:p>
    <w:p>
      <w:pPr>
        <w:tabs>
          <w:tab w:val="center" w:pos="3458"/>
          <w:tab w:val="right" w:pos="6916"/>
        </w:tabs>
        <w:spacing w:after="160" w:before="1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m:oMath>
        <m:sSub>
          <m:e>
            <m:r>
              <m:t>F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d>
          <m:dPr>
            <m:begChr m:val="["/>
            <m:sepChr m:val=""/>
            <m:endChr m:val="]"/>
            <m:grow/>
          </m:dPr>
          <m:e>
            <m:r>
              <m:t> </m:t>
            </m:r>
            <m:r>
              <m:t>1</m:t>
            </m:r>
            <m:r>
              <m:rPr>
                <m:sty m:val="p"/>
              </m:rPr>
              <m:t>+</m:t>
            </m:r>
            <m:r>
              <m:t>C</m:t>
            </m:r>
            <m:r>
              <m:t> </m:t>
            </m:r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  <m:r>
              <m:t> </m:t>
            </m:r>
          </m:e>
        </m:d>
        <m:r>
          <m:rPr>
            <m:sty m:val="p"/>
          </m:rPr>
          <m:t>,</m:t>
        </m:r>
        <m:r>
          <m:t> </m:t>
        </m:r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 </m:t>
        </m:r>
        <m:r>
          <m:t>C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cs="Times New Roman" w:eastAsia="Times New Roman" w:hAnsi="Times New Roman"/>
          <w:sz w:val="20"/>
          <w:szCs w:val="20"/>
        </w:rPr>
        <w:t xml:space="preserve">	(5)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held fixed for both algorithms. All 4,080 combinations were evaluated by the same FE model to build 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reference Pareto front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(</w:t>
      </w:r>
      <m:oMath>
        <m:r>
          <m:t>P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independent of either algorithm's search: 3,337/4,080 combinations proved feasible, yielding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59 non-dominated solutions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.</w:t>
      </w:r>
    </w:p>
    <w:p>
      <w:pPr>
        <w:keepNext/>
        <w:keepLines/>
        <w:spacing w:after="160" w:before="36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2.3. Compared Algorithms and Fair Evaluation Budget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MOFDA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[1] extends the Flow Direction Algorithm with an external Pareto archive (adaptive grid) and 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hybrid leader-selection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rule scoring each archived solution as</w:t>
      </w:r>
    </w:p>
    <w:p>
      <w:pPr>
        <w:tabs>
          <w:tab w:val="center" w:pos="3458"/>
          <w:tab w:val="right" w:pos="6916"/>
        </w:tabs>
        <w:spacing w:after="160" w:before="1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G</m:t>
        </m:r>
        <m:sSub>
          <m:e>
            <m:r>
              <m:t>I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ε</m:t>
                </m:r>
              </m:e>
              <m:sub>
                <m:r>
                  <m:t>i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D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den>
        </m:f>
      </m:oMath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(</w:t>
      </w:r>
      <m:oMath>
        <m:r>
          <m:t>G</m:t>
        </m:r>
        <m:sSub>
          <m:e>
            <m:r>
              <m:t>I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grid index, </w:t>
      </w:r>
      <m:oMath>
        <m:r>
          <m:t>D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local density,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random perturbation), the leader being the lowest-scoring individual — favouring sparse regions while limiting premature convergence relative to plain roulette-wheel selection.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MOSFOA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run here as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E-MOSFOA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[2], extends the Starfish Optimization Algorithm [7] with a Pareto archive plus three refinements: cosine phase control, </w:t>
      </w:r>
      <m:oMath>
        <m:r>
          <m:t>G</m:t>
        </m:r>
        <m:r>
          <m:t>P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G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num>
          <m:den>
            <m:r>
              <m:t>2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π</m:t>
            </m:r>
            <m:r>
              <m:t> </m:t>
            </m:r>
            <m:r>
              <m:t>i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  <m:r>
              <m:t>a</m:t>
            </m:r>
            <m:r>
              <m:t>x</m:t>
            </m:r>
            <m:r>
              <m:rPr>
                <m:sty m:val="p"/>
              </m:rPr>
              <m:t>_</m:t>
            </m:r>
            <m:r>
              <m:t>i</m:t>
            </m:r>
            <m:r>
              <m:t>t</m:t>
            </m:r>
            <m:r>
              <m:rPr>
                <m:sty m:val="p"/>
              </m:rPr>
              <m:t>)</m:t>
            </m:r>
          </m:e>
        </m:d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replacing a fixed exploration probability; a leader-guided DE-mutation, </w:t>
      </w:r>
      <m:oMath>
        <m:r>
          <m:t>m</m:t>
        </m:r>
        <m:r>
          <m:t>u</m:t>
        </m:r>
        <m:r>
          <m:t>t</m:t>
        </m:r>
        <m:r>
          <m:t>a</m:t>
        </m:r>
        <m:r>
          <m:t>n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r</m:t>
            </m:r>
            <m:r>
              <m:t>1</m:t>
            </m:r>
          </m:sub>
        </m:sSub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r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r</m:t>
            </m:r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l</m:t>
            </m:r>
            <m:r>
              <m:t>e</m:t>
            </m:r>
            <m:r>
              <m:t>a</m:t>
            </m:r>
            <m:r>
              <m:t>d</m:t>
            </m:r>
            <m:r>
              <m:t>e</m:t>
            </m:r>
            <m:r>
              <m:t>r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r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</w:t>
      </w:r>
      <m:oMath>
        <m:r>
          <m:t>F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>
          <m:t>t</m:t>
        </m:r>
        <m:r>
          <m:rPr>
            <m:sty m:val="p"/>
          </m:rPr>
          <m:t>/</m:t>
        </m:r>
        <m:r>
          <m:t>M</m:t>
        </m:r>
        <m:r>
          <m:t>a</m:t>
        </m:r>
        <m:r>
          <m:t>x</m:t>
        </m:r>
        <m:r>
          <m:rPr>
            <m:sty m:val="p"/>
          </m:rPr>
          <m:t>_</m:t>
        </m:r>
        <m:r>
          <m:t>i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</w:t>
      </w:r>
      <m:oMath>
        <m:r>
          <m:t>λ</m:t>
        </m:r>
        <m:r>
          <m:rPr>
            <m:sty m:val="p"/>
          </m:rPr>
          <m:t>=</m:t>
        </m:r>
        <m:r>
          <m:t>0.3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; and an archive-based Gaussian refinement active in the final 20% of iterations. Both algorithms have each been separately validated on an actual port/marine structure [1, 2].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MOFDA (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50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</w:t>
      </w:r>
      <m:oMath>
        <m:r>
          <m:t>m</m:t>
        </m:r>
        <m:r>
          <m:t>a</m:t>
        </m:r>
        <m:r>
          <m:t>x</m:t>
        </m:r>
        <m:r>
          <m:t>i</m:t>
        </m:r>
        <m:r>
          <m:t>t</m:t>
        </m:r>
        <m:r>
          <m:t>e</m:t>
        </m:r>
        <m:r>
          <m:t>r</m:t>
        </m:r>
        <m:r>
          <m:rPr>
            <m:sty m:val="p"/>
          </m:rPr>
          <m:t>=</m:t>
        </m:r>
        <m:r>
          <m:t>50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</w:t>
      </w:r>
      <m:oMath>
        <m:r>
          <m:t>β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neighbours/individual) and E-MOSFOA (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50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</w:t>
      </w:r>
      <m:oMath>
        <m:r>
          <m:t>M</m:t>
        </m:r>
        <m:r>
          <m:t>a</m:t>
        </m:r>
        <m:r>
          <m:t>x</m:t>
        </m:r>
        <m:r>
          <m:rPr>
            <m:sty m:val="p"/>
          </m:rPr>
          <m:t>_</m:t>
        </m:r>
        <m:r>
          <m:t>i</m:t>
        </m:r>
        <m:r>
          <m:t>t</m:t>
        </m:r>
        <m:r>
          <m:rPr>
            <m:sty m:val="p"/>
          </m:rPr>
          <m:t>=</m:t>
        </m:r>
        <m:r>
          <m:t>250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) use different loop structures, so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finite-element evaluations (FE)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rather than iterations are used as the common cost unit: </w:t>
      </w:r>
      <m:oMath>
        <m:r>
          <m:t>F</m:t>
        </m:r>
        <m:r>
          <m:t>E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>
          <m:t>m</m:t>
        </m:r>
        <m:r>
          <m:t>a</m:t>
        </m:r>
        <m:r>
          <m:t>x</m:t>
        </m:r>
        <m:r>
          <m:t>i</m:t>
        </m:r>
        <m:r>
          <m:t>t</m:t>
        </m:r>
        <m:r>
          <m:t>e</m:t>
        </m:r>
        <m:r>
          <m:t>r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M</m:t>
        </m:r>
        <m:r>
          <m:t>a</m:t>
        </m:r>
        <m:r>
          <m:t>x</m:t>
        </m:r>
        <m:r>
          <m:rPr>
            <m:sty m:val="p"/>
          </m:rPr>
          <m:t>_</m:t>
        </m:r>
        <m:r>
          <m:t>i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=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12,550/run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for both, with </w:t>
      </w:r>
      <m:oMath>
        <m:r>
          <m:t>M</m:t>
        </m:r>
        <m:r>
          <m:t>a</m:t>
        </m:r>
        <m:r>
          <m:t>x</m:t>
        </m:r>
        <m:r>
          <m:rPr>
            <m:sty m:val="p"/>
          </m:rPr>
          <m:t>_</m:t>
        </m:r>
        <m:r>
          <m:t>i</m:t>
        </m:r>
        <m:r>
          <m:t>t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m</m:t>
        </m:r>
        <m:r>
          <m:t>a</m:t>
        </m:r>
        <m:r>
          <m:t>x</m:t>
        </m:r>
        <m:r>
          <m:t>i</m:t>
        </m:r>
        <m:r>
          <m:t>t</m:t>
        </m:r>
        <m:r>
          <m:t>e</m:t>
        </m:r>
        <m:r>
          <m:t>r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. Both share the same archive capacity (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100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), grid resolution (</w:t>
      </w:r>
      <m:oMath>
        <m:r>
          <m:t>n</m:t>
        </m:r>
        <m:r>
          <m:t>G</m:t>
        </m:r>
        <m:r>
          <m:t>r</m:t>
        </m:r>
        <m:r>
          <m:t>i</m:t>
        </m:r>
        <m:r>
          <m:t>d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) and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independent runs.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Each algorithm was run 30 times against the exhaustive reference front, compared via the two-sided Wilcoxon rank-sum test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) [10] on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IGD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(normalised by the reference front's range),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hypervolume (HV)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(fixed reference point for both algorithms) and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Pareto coverage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[9]:</w:t>
      </w:r>
    </w:p>
    <w:p>
      <w:pPr>
        <w:tabs>
          <w:tab w:val="center" w:pos="3458"/>
          <w:tab w:val="right" w:pos="6916"/>
        </w:tabs>
        <w:spacing w:after="160" w:before="1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m:oMath>
        <m:r>
          <m:rPr>
            <m:nor/>
            <m:sty m:val="p"/>
          </m:rPr>
          <m:t>Pareto coverage (%)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distinct reference solutions found</m:t>
            </m:r>
          </m:num>
          <m:den>
            <m:r>
              <m:t>59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</m:oMath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using a 10⁻⁶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fitness-matching tolerance fixed in advance.</w:t>
      </w:r>
    </w:p>
    <w:p>
      <w:pPr>
        <w:keepNext/>
        <w:keepLines/>
        <w:spacing w:after="240" w:before="360" w:line="300" w:lineRule="atLeast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Experimental Results and Reviews</w:t>
      </w:r>
    </w:p>
    <w:p>
      <w:pPr>
        <w:keepNext/>
        <w:keepLines/>
        <w:spacing w:after="160" w:before="36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3.1. Reference Pareto Front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Material mass of the 59 reference solutions ranges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3,317.3–5,189.4 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displacement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9.83–16.27 mm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both well inside the TCVN 11820-5:2021 limit. Boundary clustering (Table 2) shows the Pareto solutions concentrate strongly toward the upper end of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(about 70% within the top 5% of its range) and, more weakly, toward the largest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row — indicating that the search range may not fully capture the trade-off region at still-larger diameters (Section 3.3).</w:t>
      </w:r>
    </w:p>
    <w:p>
      <w:pPr>
        <w:keepNext/>
        <w:keepLines/>
        <w:spacing w:after="120" w:before="240" w:line="220" w:lineRule="atLeast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Table 2.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Boundary clustering on the 59 reference solutions</w:t>
      </w:r>
    </w:p>
    <w:tbl>
      <w:tblPr>
        <w:tblW w:type="dxa" w:w="691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999999" w:sz="2"/>
          <w:insideV w:val="single" w:color="999999" w:sz="2"/>
        </w:tblBorders>
      </w:tblPr>
      <w:tblGrid>
        <w:gridCol w:w="1383"/>
        <w:gridCol w:w="1383"/>
        <w:gridCol w:w="1383"/>
        <w:gridCol w:w="1383"/>
        <w:gridCol w:w="1383"/>
      </w:tblGrid>
      <w:tr>
        <w:trPr>
          <w:tblHeader/>
        </w:trPr>
        <w:tc>
          <w:tcPr>
            <w:tcW w:type="dxa" w:w="138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Design variable</w:t>
            </w:r>
          </w:p>
        </w:tc>
        <w:tc>
          <w:tcPr>
            <w:tcW w:type="dxa" w:w="138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Domain</w:t>
            </w:r>
          </w:p>
        </w:tc>
        <w:tc>
          <w:tcPr>
            <w:tcW w:type="dxa" w:w="138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At upper bound</w:t>
            </w:r>
          </w:p>
        </w:tc>
        <w:tc>
          <w:tcPr>
            <w:tcW w:type="dxa" w:w="138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Within 5% of upper bound</w:t>
            </w:r>
          </w:p>
        </w:tc>
        <w:tc>
          <w:tcPr>
            <w:tcW w:type="dxa" w:w="138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At/near lower bound</w:t>
            </w:r>
          </w:p>
        </w:tc>
      </w:tr>
      <w:tr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x1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[1, 5]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18/59 (30.5%)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18/59 (30.5%)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x2 (m)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[0.800, 1.300]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17/59 (28.8%)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41/59 (69.5%)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x3 (m)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[0.010, 0.025]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2/59 (3.4%)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2/59 (3.4%)</w:t>
            </w:r>
          </w:p>
        </w:tc>
        <w:tc>
          <w:tcPr>
            <w:tcW w:type="dxa" w:w="13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20" w:before="240"/>
        <w:jc w:val="center"/>
      </w:pPr>
      <w:r>
        <w:drawing>
          <wp:inline distT="0" distB="0" distL="0" distR="0">
            <wp:extent cx="41910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220" w:lineRule="atLeast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Fig. 2.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Reference Pareto front (59 solutions) over the feasible combinations explored.</w:t>
      </w:r>
    </w:p>
    <w:p>
      <w:pPr>
        <w:keepNext/>
        <w:keepLines/>
        <w:spacing w:after="160" w:before="36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3.2. Per-Algorithm Results and Direct Comparison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Over 30 independent runs each (Table 3), both algorithms fill the 100-solution archive every run, but E-MOSFOA covers the 59-solution reference front more fully and more consistently (98.76% ± 0.88% versus 89.27% ± 4.46% for MOFDA) and attains a lower IGD (0.000100 versus 0.000506).</w:t>
      </w:r>
    </w:p>
    <w:p>
      <w:pPr>
        <w:keepNext/>
        <w:keepLines/>
        <w:spacing w:after="120" w:before="240" w:line="220" w:lineRule="atLeast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Table 3.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Statistics over 30 runs; Wilcoxon rank-sum test versus MOFDA</w:t>
      </w:r>
    </w:p>
    <w:tbl>
      <w:tblPr>
        <w:tblW w:type="dxa" w:w="691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999999" w:sz="2"/>
          <w:insideV w:val="single" w:color="999999" w:sz="2"/>
        </w:tblBorders>
      </w:tblPr>
      <w:tblGrid>
        <w:gridCol w:w="1729"/>
        <w:gridCol w:w="1729"/>
        <w:gridCol w:w="1729"/>
        <w:gridCol w:w="1729"/>
      </w:tblGrid>
      <w:tr>
        <w:trPr>
          <w:tblHeader/>
        </w:trPr>
        <w:tc>
          <w:tcPr>
            <w:tcW w:type="dxa" w:w="1729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Metric</w:t>
            </w:r>
          </w:p>
        </w:tc>
        <w:tc>
          <w:tcPr>
            <w:tcW w:type="dxa" w:w="1729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MOFDA (mean ± SD)</w:t>
            </w:r>
          </w:p>
        </w:tc>
        <w:tc>
          <w:tcPr>
            <w:tcW w:type="dxa" w:w="1729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E-MOSFOA (mean ± SD)</w:t>
            </w:r>
          </w:p>
        </w:tc>
        <w:tc>
          <w:tcPr>
            <w:tcW w:type="dxa" w:w="1729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p-value</w:t>
            </w:r>
          </w:p>
        </w:tc>
      </w:tr>
      <w:tr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GD (normalised)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0.000031 ± 0.000081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0.000000 ± 0.000000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0.0419</w:t>
            </w:r>
          </w:p>
        </w:tc>
      </w:tr>
      <w:tr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IGD (normalised)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0.000506 ± 0.000182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0.000100 ± 0.000074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1.07×10⁻¹⁰</w:t>
            </w:r>
          </w:p>
        </w:tc>
      </w:tr>
      <w:tr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HV (fixed reference point)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41,654.0150 ± 0.0064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41,654.0214 ± 0.0002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6.53×10⁻¹¹</w:t>
            </w:r>
          </w:p>
        </w:tc>
      </w:tr>
      <w:tr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Pareto coverage (/59)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52.67 ± 2.63 (89.27%)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58.27 ± 0.52 (98.76%)</w:t>
            </w:r>
          </w:p>
        </w:tc>
        <w:tc>
          <w:tcPr>
            <w:tcW w:type="dxa" w:w="17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3.14×10⁻¹¹</w:t>
            </w:r>
          </w:p>
        </w:tc>
      </w:tr>
    </w:tbl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The Wilcoxon rank-sum test indicates statistically significant differences between the two algorithms for all four metrics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); the HV and GD gaps are numerically small since both algorithms approach the same stable region, so the comparison rests mainly on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IGD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convergence speed against FE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rather than on the final HV gap. Convergence curves (Fig. 3) show E-MOSFOA reaching the stable HV region after only ≈1,000–1,500 FE, against ≈5,000–7,000 FE for MOFDA, with its mean IGD curve lying below MOFDA's throughout the search. This is consistent with E-MOSFOA's cosine phase-control schedule, which drives exploration-to-exploitation transition explicitly from early in the search, unlike MOFDA's decaying weight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>
          <m:t>t</m:t>
        </m:r>
        <m:r>
          <m:t>e</m:t>
        </m:r>
        <m:r>
          <m:t>r</m:t>
        </m:r>
        <m:r>
          <m:rPr>
            <m:sty m:val="p"/>
          </m:rPr>
          <m:t>/</m:t>
        </m:r>
        <m:r>
          <m:t>M</m:t>
        </m:r>
        <m:r>
          <m:t>a</m:t>
        </m:r>
        <m:r>
          <m:t>x</m:t>
        </m:r>
        <m:r>
          <m:rPr>
            <m:sty m:val="p"/>
          </m:rPr>
          <m:t>_</m:t>
        </m:r>
        <m:r>
          <m:t>i</m:t>
        </m:r>
        <m:r>
          <m:t>t</m:t>
        </m:r>
        <m:r>
          <m:t>e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⋅</m:t>
            </m:r>
            <m:r>
              <m:t>r</m:t>
            </m:r>
            <m:r>
              <m:t>a</m:t>
            </m:r>
            <m:r>
              <m:t>n</m:t>
            </m:r>
            <m:r>
              <m:t>d</m:t>
            </m:r>
            <m:r>
              <m:t>n</m:t>
            </m:r>
          </m:sup>
        </m:sSup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which depends heavily on a random term each iteration; the leader-guided mutation and late-stage Gaussian refinement may further help E-MOSFOA track the front once a good region is found. This is offered as a mechanism-level reading of the data, not a separate sensitivity analysis isolating each mechanism.</w:t>
      </w:r>
    </w:p>
    <w:p>
      <w:pPr>
        <w:keepNext/>
        <w:spacing w:after="120" w:before="240"/>
        <w:jc w:val="center"/>
      </w:pPr>
      <w:r>
        <w:drawing>
          <wp:inline distT="0" distB="0" distL="0" distR="0">
            <wp:extent cx="3810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220" w:lineRule="atLeast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Fig. 3.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Convergence curves of IGD and HV against the number of FEM evaluations.</w:t>
      </w:r>
    </w:p>
    <w:p>
      <w:pPr>
        <w:keepNext/>
        <w:keepLines/>
        <w:spacing w:after="160" w:before="36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3.3. Scope Limitations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The concentration of Pareto solutions near the upper bound of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means the search range may not fully capture the trade-off region at larger diameters, though the algorithm comparison itself remains valid since both are judged against the same reference front. </w:t>
      </w:r>
      <m:oMath>
        <m:sSub>
          <m:e>
            <m:r>
              <m:t>K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0.32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for the fractured-rock layer is a conservative assumption pending measured RQD data (</w:t>
      </w:r>
      <m:oMath>
        <m:sSub>
          <m:e>
            <m:r>
              <m:t>γ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1.15</m:t>
        </m:r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is, by contrast, confirmed). Pile-group interaction, the storm load combination, and p–y soil–pile interaction are outside the present scope, which is limited to linear-static analysis.</w:t>
      </w:r>
    </w:p>
    <w:p>
      <w:pPr>
        <w:keepNext/>
        <w:keepLines/>
        <w:spacing w:after="240" w:before="360" w:line="300" w:lineRule="atLeast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Conclusion and recommendations</w:t>
      </w:r>
    </w:p>
    <w:p>
      <w:pPr>
        <w:ind w:left="340" w:hanging="34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1. Problem formulation and reference Pareto front.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A discrete multi-objective optimization problem was formulated for the pile-system cross-sections of a 100,000-DWT container wharf (4,080 combinations; structural, TCVN 10304:2025 geotechnical, and uplift constraints), and an exhaustive reference Pareto front (59 solutions) was built as an external, algorithm-independent benchmark; this front shows boundary clustering toward larger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a scope limitation for generalising absolute values. </w:t>
      </w:r>
    </w:p>
    <w:p>
      <w:pPr>
        <w:ind w:left="340" w:hanging="34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 Quantitative comparison between MOFDA and E-MOSFOA.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Comparing MOFDA and E-MOSFOA on the identical problem, model, objectives, constraints and FE budget (30 runs each), E-MOSFOA attains a markedly lower IGD (0.000100 versus 0.000506, p = 1.07×10⁻¹⁰), converges roughly five times faster in FE terms, and covers the reference front more fully and steadily (98.76% ± 0.88% versus 89.27% ± 4.46%). </w:t>
      </w:r>
    </w:p>
    <w:p>
      <w:pPr>
        <w:ind w:left="340" w:hanging="34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3. Convergence speed and scope of the comparison.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Within the scope examined, E-MOSFOA is therefore the more favourable choice on convergence speed — without implying a universal advantage on other structural problems — and these results give a quantitative reference for algorithm selection in similarly constrained port pile-design problems. </w:t>
      </w:r>
    </w:p>
    <w:p>
      <w:pPr>
        <w:ind w:left="340" w:hanging="34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4. Engineering limitations and recommendation for further verification.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Before the optimized mass/displacement values are used in a formal design, the limitations of Section 3.3 (search range at large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, the </w:t>
      </w:r>
      <m:oMath>
        <m:sSub>
          <m:e>
            <m:r>
              <m:t>K</m:t>
            </m:r>
          </m:e>
          <m:sub>
            <m:r>
              <m:t>s</m:t>
            </m:r>
          </m:sub>
        </m:sSub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assumption, no pile-group effect) should be reconfirmed against fuller field and design data.</w:t>
      </w:r>
    </w:p>
    <w:p>
      <w:pPr>
        <w:keepNext/>
        <w:keepLines/>
        <w:spacing w:after="240" w:before="360" w:line="300" w:lineRule="atLeast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Acknowledgments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This research was financially supported by Vietnam Maritime University.</w:t>
      </w:r>
    </w:p>
    <w:p>
      <w:pPr>
        <w:keepNext/>
        <w:keepLines/>
        <w:spacing w:after="240" w:before="360" w:line="300" w:lineRule="atLeast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Disclosure of Interests</w:t>
      </w:r>
    </w:p>
    <w:p>
      <w:pPr>
        <w:ind w:firstLine="22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The authors have no competing interests to declare that are relevant to the content of this article.</w:t>
      </w:r>
    </w:p>
    <w:p>
      <w:pPr>
        <w:keepNext/>
        <w:keepLines/>
        <w:spacing w:after="240" w:before="360" w:line="300" w:lineRule="atLeast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References</w:t>
      </w:r>
    </w:p>
    <w:p>
      <w:pPr>
        <w:spacing w:line="220" w:lineRule="atLeast"/>
        <w:ind w:left="567" w:hanging="567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[1]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Vu-Huu, T., Khatir, S., Cuong-Le, T.: Real-World Steel Frame Optimization Using a Hybrid Leader Selection-Based Multi-Objective Flow Direction Algorithm. International Journal for Numerical Methods in Engineering 126(15), e70098 (2025). https://doi.org/10.1002/nme.70098</w:t>
      </w:r>
    </w:p>
    <w:p>
      <w:pPr>
        <w:spacing w:line="220" w:lineRule="atLeast"/>
        <w:ind w:left="567" w:hanging="567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[2]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Do-Quang, T., Vu-Huu, T., Le, C.T.: Multi-objective Optimization of Marine Structures Using an Enhanced Starfish Algorithm. Proceedings of the Institution of Civil Engineers – Structures and Buildings (2026). https://doi.org/10.1680/jstbu.26.00159</w:t>
      </w:r>
    </w:p>
    <w:p>
      <w:pPr>
        <w:spacing w:line="220" w:lineRule="atLeast"/>
        <w:ind w:left="567" w:hanging="567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[3]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AMACCAO PILE: Catalogue and technical specifications of AMACCAO spun concrete piles D300–D1200, following TCVN 7888:2014 and JIS A 5373:2016 (2014).</w:t>
      </w:r>
    </w:p>
    <w:p>
      <w:pPr>
        <w:spacing w:line="220" w:lineRule="atLeast"/>
        <w:ind w:left="567" w:hanging="567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[4]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Ministry of Science and Technology: TCVN 11820-5:2021 — Port and Harbour Engineering — Design Requirements — Part 5: Quay Structures (2021).</w:t>
      </w:r>
    </w:p>
    <w:p>
      <w:pPr>
        <w:spacing w:line="220" w:lineRule="atLeast"/>
        <w:ind w:left="567" w:hanging="567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[5]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Vietnam Standards and Quality Institute: TCVN 10304:2025 (2nd edition) — Pile Foundation Design (2025).</w:t>
      </w:r>
    </w:p>
    <w:p>
      <w:pPr>
        <w:spacing w:line="220" w:lineRule="atLeast"/>
        <w:ind w:left="567" w:hanging="567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[6]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Ministry of Science and Technology: TCVN 9245:2012 — Steel Pipe Piles (2012).</w:t>
      </w:r>
    </w:p>
    <w:p>
      <w:pPr>
        <w:spacing w:line="220" w:lineRule="atLeast"/>
        <w:ind w:left="567" w:hanging="567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[7]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Zhong, C., et al.: Starfish optimization algorithm (SFOA): a bio-inspired metaheuristic algorithm for global optimization compared with 100 optimizers. Neural Computing and Applications, 3641–3683 (2025).</w:t>
      </w:r>
    </w:p>
    <w:p>
      <w:pPr>
        <w:spacing w:line="220" w:lineRule="atLeast"/>
        <w:ind w:left="567" w:hanging="567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[8]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Zhou, A., Qu, B.-Y., Li, H., Zhao, S.-Z., Suganthan, P.N., Zhang, Q.: Multiobjective evolutionary algorithms: A survey of the state of the art. Swarm and Evolutionary Computation 1(1), 32–49 (2011). https://doi.org/10.1016/j.swevo.2011.03.001</w:t>
      </w:r>
    </w:p>
    <w:p>
      <w:pPr>
        <w:spacing w:line="220" w:lineRule="atLeast"/>
        <w:ind w:left="567" w:hanging="567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[9]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Zitzler, E., Thiele, L., Laumanns, M., Fonseca, C.M., da Fonseca, V.G.: Performance assessment of multiobjective optimizers: an analysis and review. IEEE Transactions on Evolutionary Computation 7(2), 117–132 (2003). https://doi.org/10.1109/TEVC.2003.810758</w:t>
      </w:r>
    </w:p>
    <w:p>
      <w:pPr>
        <w:spacing w:line="220" w:lineRule="atLeast"/>
        <w:ind w:left="567" w:hanging="567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[10]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Derrac, J., García, S., Molina, D., Herrera, F.: A practical tutorial on the use of nonparametric statistical tests as a methodology for comparing evolutionary and swarm intelligence algorithms. Swarm and Evolutionary Computation 1(1), 3–18 (2011). https://doi.org/10.1016/j.swevo.2011.02.002</w:t>
      </w:r>
    </w:p>
    <w:sectPr>
      <w:headerReference w:type="even" r:id="rId10"/>
      <w:headerReference w:type="default" r:id="rId11"/>
      <w:pgSz w:w="11906" w:h="16838" w:orient="portrait"/>
      <w:pgMar w:top="2948" w:right="2495" w:bottom="2948" w:left="2495" w:header="2381" w:footer="2325" w:gutter="0"/>
      <w:pgNumType/>
      <w:titlePg/>
      <w:docGrid w:linePitch="24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ind w:firstLine="0"/>
      <w:jc w:val="left"/>
    </w:pPr>
    <w:r>
      <w:rPr>
        <w:rFonts w:ascii="Times New Roman" w:cs="Times New Roman" w:eastAsia="Times New Roman" w:hAnsi="Times New Roman"/>
        <w:sz w:val="18"/>
        <w:szCs w:val="18"/>
      </w:rPr>
      <w:fldChar w:fldCharType="begin"/>
    </w:r>
    <w:r>
      <w:rPr>
        <w:rFonts w:ascii="Times New Roman" w:cs="Times New Roman" w:eastAsia="Times New Roman" w:hAnsi="Times New Roman"/>
        <w:sz w:val="18"/>
        <w:szCs w:val="18"/>
      </w:rPr>
      <w:instrText xml:space="preserve"> PAGE   \* MERGEFORMAT </w:instrText>
    </w:r>
    <w:r>
      <w:rPr>
        <w:rFonts w:ascii="Times New Roman" w:cs="Times New Roman" w:eastAsia="Times New Roman" w:hAnsi="Times New Roman"/>
        <w:sz w:val="18"/>
        <w:szCs w:val="18"/>
      </w:rPr>
      <w:fldChar w:fldCharType="separate"/>
    </w:r>
    <w:r>
      <w:rPr>
        <w:rFonts w:ascii="Times New Roman" w:cs="Times New Roman" w:eastAsia="Times New Roman" w:hAnsi="Times New Roman"/>
        <w:noProof/>
        <w:sz w:val="18"/>
        <w:szCs w:val="18"/>
      </w:rPr>
      <w:t>2</w:t>
    </w:r>
    <w:r>
      <w:rPr>
        <w:rFonts w:ascii="Times New Roman" w:cs="Times New Roman" w:eastAsia="Times New Roman" w:hAnsi="Times New Roman"/>
        <w:sz w:val="18"/>
        <w:szCs w:val="18"/>
      </w:rPr>
      <w:fldChar w:fldCharType="end"/>
    </w:r>
  </w:p>
</w:hdr>
</file>

<file path=word/header2.xml><?xml version="1.0" encoding="utf-8"?>
<w:hdr xmlns:r="http://schemas.openxmlformats.org/officeDocument/2006/relationships" xmlns:w="http://schemas.openxmlformats.org/wordprocessingml/2006/main">
  <w:p>
    <w:pPr>
      <w:ind w:firstLine="0"/>
      <w:jc w:val="right"/>
    </w:pPr>
    <w:r>
      <w:rPr>
        <w:rFonts w:ascii="Times New Roman" w:cs="Times New Roman" w:eastAsia="Times New Roman" w:hAnsi="Times New Roman"/>
        <w:sz w:val="18"/>
        <w:szCs w:val="18"/>
      </w:rPr>
      <w:fldChar w:fldCharType="begin"/>
    </w:r>
    <w:r>
      <w:rPr>
        <w:rFonts w:ascii="Times New Roman" w:cs="Times New Roman" w:eastAsia="Times New Roman" w:hAnsi="Times New Roman"/>
        <w:sz w:val="18"/>
        <w:szCs w:val="18"/>
      </w:rPr>
      <w:instrText xml:space="preserve"> PAGE   \* MERGEFORMAT </w:instrText>
    </w:r>
    <w:r>
      <w:rPr>
        <w:rFonts w:ascii="Times New Roman" w:cs="Times New Roman" w:eastAsia="Times New Roman" w:hAnsi="Times New Roman"/>
        <w:sz w:val="18"/>
        <w:szCs w:val="18"/>
      </w:rPr>
      <w:fldChar w:fldCharType="separate"/>
    </w:r>
    <w:r>
      <w:rPr>
        <w:rFonts w:ascii="Times New Roman" w:cs="Times New Roman" w:eastAsia="Times New Roman" w:hAnsi="Times New Roman"/>
        <w:noProof/>
        <w:sz w:val="18"/>
        <w:szCs w:val="18"/>
      </w:rPr>
      <w:t>3</w:t>
    </w:r>
    <w:r>
      <w:rPr>
        <w:rFonts w:ascii="Times New Roman" w:cs="Times New Roman" w:eastAsia="Times New Roman" w:hAnsi="Times New Roman"/>
        <w:sz w:val="18"/>
        <w:szCs w:val="18"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72f9fc91168a3cc5fd809699a36a528831db47a.png"/><Relationship Id="rId8" Type="http://schemas.openxmlformats.org/officeDocument/2006/relationships/image" Target="media/a3c29b055c0898259581345e8c2a303699c95eeb.png"/><Relationship Id="rId9" Type="http://schemas.openxmlformats.org/officeDocument/2006/relationships/fontTable" Target="fontTable.xml"/><Relationship Id="rId10" Type="http://schemas.openxmlformats.org/officeDocument/2006/relationships/header" Target="header1.xml"/><Relationship Id="rId11" Type="http://schemas.openxmlformats.org/officeDocument/2006/relationships/header" Target="header2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2026-09-12T03:00:45.965Z</dcterms:created>
  <dcterms:modified xsi:type="dcterms:W3CDTF">2026-09-12T03:00:45.966Z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