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80" w:line="360" w:lineRule="atLeast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Multi-Objective Optimization of Pile-System Cross-Sections for a 100,000-DWT Container Wharf: A Comparison Between MOFDA and MOSFOA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Thanh Do-Quang¹,\*, T. Vu-Huu¹, Thanh Cuong-Le²</w:t>
      </w:r>
    </w:p>
    <w:p>
      <w:pPr>
        <w:spacing w:after="200" w:line="220" w:lineRule="atLeast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18"/>
          <w:szCs w:val="18"/>
        </w:rPr>
        <w:t xml:space="preserve">¹ Faculty of Civil Engineering, Vietnam Maritime University, Haiphong City, Vietnam</w:t>
      </w:r>
      <w:r>
        <w:br/>
        <w:t xml:space="preserve"/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18"/>
          <w:szCs w:val="18"/>
        </w:rPr>
        <w:t xml:space="preserve">² Faculty of Civil Engineering and Electricity, Ho Chi Minh City Open University, Vietnam</w:t>
      </w:r>
      <w:r>
        <w:br/>
        <w:t xml:space="preserve"/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18"/>
          <w:szCs w:val="18"/>
        </w:rPr>
        <w:t xml:space="preserve">*Corresponding author: thanhdq.ctt@viamru.edu.vn</w:t>
      </w:r>
    </w:p>
    <w:p>
      <w:pPr>
        <w:spacing w:after="360" w:before="600" w:line="220" w:lineRule="atLeast"/>
        <w:ind w:left="567" w:right="567"/>
        <w:jc w:val="both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Abstract.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Pile-supported container wharves carry a large mass of pile material, so a pile cross-section can be selected through constrained multi-objective optimization rather than experience alone. This study formulates a discrete multi-objective problem for the cross-sections of prestressed spun-concrete piles and steel pipe piles at an actual 100,000-DWT container wharf (4,080 combinations), subject to structural constraints, a geotechnical bearing-capacity constraint under TCVN 10304:2025, and a pile-uplift constraint. Material mass and maximum lateral displacement are evaluated through a SAP2000 model coupled with MATLAB via OAPI. Two multi-objective metaheuristics previously reported by the same group, MOFDA (flow-direction search, hybrid leader selection) and MOSFOA (starfish-inspired search, run here as the enhanced E-MOSFOA variant), are compared on the identical problem, model, objectives, constraints and evaluation budget (12,550 finite-element calls/run, 30 independent runs each), benchmarked against a reference Pareto front from an exhaustive search of all 4,080 combinations (59 non-dominated solutions). E-MOSFOA converges faster and approaches the reference front more closely under the same budget (mean normalised IGD 0.000100 versus 0.000506 for MOFDA; Wilcoxon rank-sum p = 1.07×10⁻¹⁰), reaching the stable hypervolume region after only about 1,000–1,500 evaluations against roughly 5,000–7,000 for MOFDA, and attains higher, steadier coverage of the reference front (98.76% ± 0.88% versus 89.27% ± 4.46%). These findings offer a quantitative reference for algorithm selection in similarly constrained pile-cross-section design problems for port structures.</w:t>
      </w:r>
    </w:p>
    <w:p>
      <w:pPr>
        <w:spacing w:before="220"/>
        <w:ind w:left="567" w:right="567"/>
        <w:jc w:val="lef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Keywords: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multi-objective optimization; MOFDA algorithm; MOSFOA algorithm; pile cross-section design; pile-supported container wharf; SAP2000–MATLAB coupling.</w:t>
      </w:r>
    </w:p>
    <w:p>
      <w:pPr>
        <w:spacing w:after="240" w:before="360" w:line="300" w:lineRule="atLeast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Introduction</w:t>
      </w:r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Pile-supported container wharves are a common structural form for large-tonnage seaports in Vietnam, and the pile system — prestressed spun-concrete (PHC) piles combined with steel pipe piles — dominates both load-bearing function and material cost. Constrained multi-objective optimization coupled with a finite-element model lets the trade-off between material mass and displacement be explored systematically rather than only verified for a single, experience-based design.</w:t>
      </w:r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Two metaheuristic-based multi-objective algorithms have been developed and reported by this group: MOFDA, a flow-direction algorithm with hybrid leader selection, validated on benchmark functions, constrained engineering problems and a steel-frame structure [1]; and MOSFOA, a starfish-inspired algorithm offered as B-MOSFOA and the enhanced E-MOSFOA, validated on IMOP/UF/RM-MEDA benchmarks and a separate port structure [2]. Each was verified on a different structure under non-identical conditions, so no direct comparison had existed. This paper asks: under the same MATLAB–SAP2000 evaluation system, objectives, constraints and finite-element budget, how do MOFDA and MOSFOA differ in solution quality and convergence speed on one real pile-cross-section design problem — the 100,000-DWT Lach Huyen container wharf, 4,080 design combinations, structural and geotechnical constraints (TCVN 10304:2025) and pile uplift? The contributions are: (i) a discrete optimization formulation with structural, geotechnical and uplift constraints; (ii) an exhaustive reference Pareto front independent of either algorithm's search; and (iii) a quantitative comparison of MOFDA and E-MOSFOA via IGD, hypervolume, Pareto coverage, the Wilcoxon rank-sum test and FE-based convergence curves, with conclusions drawn only from the data in Section 3.</w:t>
      </w:r>
    </w:p>
    <w:p>
      <w:pPr>
        <w:spacing w:after="240" w:before="360" w:line="300" w:lineRule="atLeast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Research Method</w:t>
      </w:r>
    </w:p>
    <w:p>
      <w:pPr>
        <w:spacing w:after="160" w:before="36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2.1. Structure, Finite-Element Model and Design Variables</w:t>
      </w:r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The structure is a 100,000-DWT container wharf of the Lach Huyen international gateway port, Haiphong — an onshore quay on a high-piled deck. The analysed segment is about 75 m long, deck-top at +5.50 m, dredged bed at −16.0 m, for a design vessel of 330 m length and 14.8 m draught. Each segment has 132 prestressed spun-concrete piles and 60 steel pipe piles (D1016), 192 in total; pile cross-section is the design variable, applied uniformly per pile type, with position, rake and embedment length held fixed so that geotechnical constraints stay consistent across combinations. A linear-static SAP2000 model (4,913 joints, 1,734 frame and 4,488 shell elements) provides displacements and forces under the governing envelope combination "BAO KT"; the storm combination is outside this envelope and outside the present scope (Section 3.4). The pile tips sit in a stiff clay/weathered claystone layer (concrete piles) and a strongly fractured weathered rock layer (steel piles); pile-group interaction is not considered.</w:t>
      </w:r>
    </w:p>
    <w:p>
      <w:pPr>
        <w:pBdr>
          <w:top w:val="dashed" w:color="999999" w:sz="6"/>
          <w:bottom w:val="dashed" w:color="999999" w:sz="6"/>
          <w:left w:val="dashed" w:color="999999" w:sz="6"/>
          <w:right w:val="dashed" w:color="999999" w:sz="6"/>
        </w:pBdr>
        <w:spacing w:after="120" w:before="24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[Insert Fig. 1 – SAP2000 model image here]</w:t>
      </w:r>
    </w:p>
    <w:p>
      <w:pPr>
        <w:spacing w:after="240" w:before="120" w:line="220" w:lineRule="atLeast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Fig. 1.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SAP2000 model of the 100,000-DWT container wharf.</w:t>
      </w:r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Three discrete design variables are used:</w:t>
      </w:r>
    </w:p>
    <w:p>
      <w:pPr>
        <w:tabs>
          <w:tab w:val="center" w:pos="3458"/>
          <w:tab w:val="right" w:pos="6916"/>
        </w:tabs>
        <w:spacing w:after="160" w:before="1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Consolas" w:cs="Consolas" w:eastAsia="Consolas" w:hAnsi="Consolas"/>
          <w:sz w:val="18"/>
          <w:szCs w:val="18"/>
        </w:rPr>
        <w:t xml:space="preserve">\mathbf{x} = [\,CatIdx_{BTCT},\ D_{steel},\ t_{steel}\,]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(1)</w:t>
      </w:r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where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8"/>
          <w:szCs w:val="18"/>
        </w:rPr>
        <w:t xml:space="preserve">CatIdx_{BTCT}\in\{1,\dots,5\}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indexes a row of the AMACCAO PHC-pile catalogue (Table 1, TCVN 7888:2014/JIS A 5373:2016 [3]);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8"/>
          <w:szCs w:val="18"/>
        </w:rPr>
        <w:t xml:space="preserve">D_{steel}\in[0.800,1.300]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m (step 0.01 m, 51 values);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8"/>
          <w:szCs w:val="18"/>
        </w:rPr>
        <w:t xml:space="preserve">t_{steel}\in[0.010,0.025]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m (step 0.001 m, 16 values) — giving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8"/>
          <w:szCs w:val="18"/>
        </w:rPr>
        <w:t xml:space="preserve">5\times51\times16=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4,080 combinations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.</w:t>
      </w:r>
    </w:p>
    <w:p>
      <w:pPr>
        <w:spacing w:after="120" w:before="240" w:line="220" w:lineRule="atLeast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Table 1.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AMACCAO PHC-pile catalogue used (Class A, TCVN 7888:2014)</w:t>
      </w:r>
    </w:p>
    <w:tbl>
      <w:tblPr>
        <w:tblW w:type="dxa" w:w="691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999999" w:sz="2"/>
          <w:insideV w:val="single" w:color="999999" w:sz="2"/>
        </w:tblBorders>
      </w:tblPr>
      <w:tblGrid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988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CatIdx</w:t>
            </w:r>
          </w:p>
        </w:tc>
        <w:tc>
          <w:tcPr>
            <w:tcW w:type="dxa" w:w="988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D (m)</w:t>
            </w:r>
          </w:p>
        </w:tc>
        <w:tc>
          <w:tcPr>
            <w:tcW w:type="dxa" w:w="988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t (m)</w:t>
            </w:r>
          </w:p>
        </w:tc>
        <w:tc>
          <w:tcPr>
            <w:tcW w:type="dxa" w:w="988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A (m²)</w:t>
            </w:r>
          </w:p>
        </w:tc>
        <w:tc>
          <w:tcPr>
            <w:tcW w:type="dxa" w:w="988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Mcr (t·m)</w:t>
            </w:r>
          </w:p>
        </w:tc>
        <w:tc>
          <w:tcPr>
            <w:tcW w:type="dxa" w:w="988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Mu (t·m)</w:t>
            </w:r>
          </w:p>
        </w:tc>
        <w:tc>
          <w:tcPr>
            <w:tcW w:type="dxa" w:w="988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Pvl (t)</w:t>
            </w:r>
          </w:p>
        </w:tc>
      </w:tr>
      <w:tr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0.600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0.100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0.15708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17.00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25.51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380</w:t>
            </w:r>
          </w:p>
        </w:tc>
      </w:tr>
      <w:tr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0.700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0.110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0.20389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26.00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39.00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500</w:t>
            </w:r>
          </w:p>
        </w:tc>
      </w:tr>
      <w:tr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0.800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0.120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0.25635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37.00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55.50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680</w:t>
            </w:r>
          </w:p>
        </w:tc>
      </w:tr>
      <w:tr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0.900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0.130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0.31447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48.95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73.42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880</w:t>
            </w:r>
          </w:p>
        </w:tc>
      </w:tr>
      <w:tr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1.000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0.130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0.35531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62.22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93.32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1,100</w:t>
            </w:r>
          </w:p>
        </w:tc>
      </w:tr>
    </w:tbl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The two objectives are the pile material mass and the maximum lateral displacement:</w:t>
      </w:r>
    </w:p>
    <w:p>
      <w:pPr>
        <w:tabs>
          <w:tab w:val="center" w:pos="3458"/>
          <w:tab w:val="right" w:pos="6916"/>
        </w:tabs>
        <w:spacing w:after="160" w:before="1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Consolas" w:cs="Consolas" w:eastAsia="Consolas" w:hAnsi="Consolas"/>
          <w:sz w:val="18"/>
          <w:szCs w:val="18"/>
        </w:rPr>
        <w:t xml:space="preserve">f_1 = A(D,t)_{BTCT}\,\Sigma L_{BTCT}\,\gamma_{concrete} + A(D,t)_{steel}\,\Sigma L_{steel}\,\gamma_{steel}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(2)</w:t>
      </w:r>
    </w:p>
    <w:p>
      <w:pPr>
        <w:tabs>
          <w:tab w:val="center" w:pos="3458"/>
          <w:tab w:val="right" w:pos="6916"/>
        </w:tabs>
        <w:spacing w:after="160" w:before="1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Consolas" w:cs="Consolas" w:eastAsia="Consolas" w:hAnsi="Consolas"/>
          <w:sz w:val="18"/>
          <w:szCs w:val="18"/>
        </w:rPr>
        <w:t xml:space="preserve">f_2 = \max\!\left(\sqrt{U_1^{2}+U_2^{2}}\right)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(3)</w:t>
      </w:r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with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8"/>
          <w:szCs w:val="18"/>
        </w:rPr>
        <w:t xml:space="preserve">\gamma_{concrete}=2.5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t/m³,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8"/>
          <w:szCs w:val="18"/>
        </w:rPr>
        <w:t xml:space="preserve">\gamma_{steel}=7.85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t/m³, under the "BAO KT" envelope.</w:t>
      </w:r>
    </w:p>
    <w:p>
      <w:pPr>
        <w:spacing w:after="160" w:before="36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2.2. Constraints and Reference Pareto Front</w:t>
      </w:r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Structural constraints comprise: the concrete-pile axial force–moment interaction, using catalogue values directly,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8"/>
          <w:szCs w:val="18"/>
        </w:rPr>
        <w:t xml:space="preserve">N/P_{vl}+M/M_u-1\le 0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(4); steel-pile stress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8"/>
          <w:szCs w:val="18"/>
        </w:rPr>
        <w:t xml:space="preserve">\sigma=N/A+M/W\le F_y/\gamma_M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8"/>
          <w:szCs w:val="18"/>
        </w:rPr>
        <w:t xml:space="preserve">F_y=3{,}150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kg/cm² [6],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8"/>
          <w:szCs w:val="18"/>
        </w:rPr>
        <w:t xml:space="preserve">\gamma_M=1.05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); and lateral displacement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8"/>
          <w:szCs w:val="18"/>
        </w:rPr>
        <w:t xml:space="preserve">U_{max}/U_{allow}-1\le 0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8"/>
          <w:szCs w:val="18"/>
        </w:rPr>
        <w:t xml:space="preserve">U_{allow}=71.7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mm, TCVN 11820-5:2021 [4]). The geotechnical constraint follows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TCVN 10304:2025 [5]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: a friction-pile formula for the concrete pile (clay tip) and an end-bearing-on-rock formula for the steel pile (fractured-rock tip, strength-reduction factor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8"/>
          <w:szCs w:val="18"/>
        </w:rPr>
        <w:t xml:space="preserve">K_s=0.32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, a conservative value adopted for lack of measured RQD), checked as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8"/>
          <w:szCs w:val="18"/>
        </w:rPr>
        <w:t xml:space="preserve">\gamma_n N_d\le R_k/\gamma_k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8"/>
          <w:szCs w:val="18"/>
        </w:rPr>
        <w:t xml:space="preserve">\gamma_k=1.4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8"/>
          <w:szCs w:val="18"/>
        </w:rPr>
        <w:t xml:space="preserve">\gamma_n=1.15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, consequence class C2). An uplift check (18/360 steel piles found in tension, up to ≈31 t) uses shaft friction only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8"/>
          <w:szCs w:val="18"/>
        </w:rPr>
        <w:t xml:space="preserve">\gamma_c=0.8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). All violations are combined into one penalty applied to both objectives:</w:t>
      </w:r>
    </w:p>
    <w:p>
      <w:pPr>
        <w:tabs>
          <w:tab w:val="center" w:pos="3458"/>
          <w:tab w:val="right" w:pos="6916"/>
        </w:tabs>
        <w:spacing w:after="160" w:before="1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Consolas" w:cs="Consolas" w:eastAsia="Consolas" w:hAnsi="Consolas"/>
          <w:sz w:val="18"/>
          <w:szCs w:val="18"/>
        </w:rPr>
        <w:t xml:space="preserve">F_k(\mathbf{x}) = f_k(\mathbf{x})\,\big[\,1+C\,P(\mathbf{x})\,\big],\quad k=1,2,\quad C=10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(5)</w:t>
      </w:r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held fixed for both algorithms. All 4,080 combinations were evaluated by the same FE model to build a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reference Pareto front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, independent of either algorithm's search: 3,337/4,080 combinations proved feasible, yielding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59 non-dominated solutions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.</w:t>
      </w:r>
    </w:p>
    <w:p>
      <w:pPr>
        <w:spacing w:after="160" w:before="36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2.3. Compared Algorithms and Fair Evaluation Budget</w:t>
      </w:r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MOFDA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[1] extends the Flow Direction Algorithm with an external Pareto archive (adaptive grid) and a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hybrid leader-selection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rule scoring each archived solution as</w:t>
      </w:r>
    </w:p>
    <w:p>
      <w:pPr>
        <w:tabs>
          <w:tab w:val="center" w:pos="3458"/>
          <w:tab w:val="right" w:pos="6916"/>
        </w:tabs>
        <w:spacing w:after="160" w:before="1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Consolas" w:cs="Consolas" w:eastAsia="Consolas" w:hAnsi="Consolas"/>
          <w:sz w:val="18"/>
          <w:szCs w:val="18"/>
        </w:rPr>
        <w:t xml:space="preserve">s_i = GI_i + \dfrac{\varepsilon_i}{1+DE_i}</w:t>
      </w:r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8"/>
          <w:szCs w:val="18"/>
        </w:rPr>
        <w:t xml:space="preserve">GI_i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grid index,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8"/>
          <w:szCs w:val="18"/>
        </w:rPr>
        <w:t xml:space="preserve">DE_i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local density,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8"/>
          <w:szCs w:val="18"/>
        </w:rPr>
        <w:t xml:space="preserve">\varepsilon_i\in[0,1]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random perturbation), the leader being the lowest-scoring individual — favouring sparse regions while limiting premature convergence relative to plain roulette-wheel selection.</w:t>
      </w:r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MOSFOA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, run here as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E-MOSFOA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[2], extends the Starfish Optimization Algorithm [7] with a Pareto archive plus three refinements: cosine phase control,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8"/>
          <w:szCs w:val="18"/>
        </w:rPr>
        <w:t xml:space="preserve">GP=\tfrac{GP_0}{2}\big(1+\cos(\pi\, it/Max\_it)\big)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, replacing a fixed exploration probability; a leader-guided DE-mutation,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8"/>
          <w:szCs w:val="18"/>
        </w:rPr>
        <w:t xml:space="preserve">mutant_i = X_{r1}+F(X_{r2}-X_{r3})+\lambda(X_{leader}-X_{r1})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8"/>
          <w:szCs w:val="18"/>
        </w:rPr>
        <w:t xml:space="preserve">F=0.5(1-it/Max\_it)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8"/>
          <w:szCs w:val="18"/>
        </w:rPr>
        <w:t xml:space="preserve">\lambda=0.3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; and an archive-based Gaussian refinement active in the final 20% of iterations. Both algorithms have each been separately validated on an actual port/marine structure [1, 2].</w:t>
      </w:r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MOFDA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8"/>
          <w:szCs w:val="18"/>
        </w:rPr>
        <w:t xml:space="preserve">N_p=50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8"/>
          <w:szCs w:val="18"/>
        </w:rPr>
        <w:t xml:space="preserve">maxiter=50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8"/>
          <w:szCs w:val="18"/>
        </w:rPr>
        <w:t xml:space="preserve">\beta=4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neighbours/individual) and E-MOSFOA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8"/>
          <w:szCs w:val="18"/>
        </w:rPr>
        <w:t xml:space="preserve">N_p=50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8"/>
          <w:szCs w:val="18"/>
        </w:rPr>
        <w:t xml:space="preserve">Max\_it=250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) use different loop structures, so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finite-element evaluations (FE)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rather than iterations are used as the common cost unit: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8"/>
          <w:szCs w:val="18"/>
        </w:rPr>
        <w:t xml:space="preserve">FE=N_p[1+maxiter(\beta+1)]=N_p(Max\_it+1)=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12,550/run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for both, with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8"/>
          <w:szCs w:val="18"/>
        </w:rPr>
        <w:t xml:space="preserve">Max\_it=5\times maxiter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. Both share the same archive capacity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8"/>
          <w:szCs w:val="18"/>
        </w:rPr>
        <w:t xml:space="preserve">N_r=100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), grid resolution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8"/>
          <w:szCs w:val="18"/>
        </w:rPr>
        <w:t xml:space="preserve">nGrid=10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) and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8"/>
          <w:szCs w:val="18"/>
        </w:rPr>
        <w:t xml:space="preserve">N=30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independent runs.</w:t>
      </w:r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Each algorithm was run 30 times against the exhaustive reference front, compared via the two-sided Wilcoxon rank-sum test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8"/>
          <w:szCs w:val="18"/>
        </w:rPr>
        <w:t xml:space="preserve">\alpha=0.05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) on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IGD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(normalised by the reference front's range),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hypervolume (HV)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(fixed reference point for both algorithms) and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Pareto coverage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:</w:t>
      </w:r>
    </w:p>
    <w:p>
      <w:pPr>
        <w:tabs>
          <w:tab w:val="center" w:pos="3458"/>
          <w:tab w:val="right" w:pos="6916"/>
        </w:tabs>
        <w:spacing w:after="160" w:before="1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Consolas" w:cs="Consolas" w:eastAsia="Consolas" w:hAnsi="Consolas"/>
          <w:sz w:val="18"/>
          <w:szCs w:val="18"/>
        </w:rPr>
        <w:t xml:space="preserve">\text{Pareto coverage (\%)} = \dfrac{\text{distinct reference solutions found}}{59}\times 100\%</w:t>
      </w:r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using a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8"/>
          <w:szCs w:val="18"/>
        </w:rPr>
        <w:t xml:space="preserve">10^{-6}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fitness-matching tolerance fixed in advance.</w:t>
      </w:r>
    </w:p>
    <w:p>
      <w:pPr>
        <w:spacing w:after="240" w:before="360" w:line="300" w:lineRule="atLeast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Experimental Results and Reviews</w:t>
      </w:r>
    </w:p>
    <w:p>
      <w:pPr>
        <w:spacing w:after="160" w:before="36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3.1. Reference Pareto Front</w:t>
      </w:r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Material mass of the 59 reference solutions ranges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3,317.3–5,189.4 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, displacement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9.83–16.27 mm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, both well inside the TCVN 11820-5:2021 limit. Boundary clustering (Table 2) shows the Pareto solutions concentrate strongly toward the upper end of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8"/>
          <w:szCs w:val="18"/>
        </w:rPr>
        <w:t xml:space="preserve">D_{steel}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(about 70% within the top 5% of its range) and, more weakly, toward the largest CatIdx_BTCT row — indicating that the search range may not fully capture the trade-off region at still-larger diameters (Section 3.4).</w:t>
      </w:r>
    </w:p>
    <w:p>
      <w:pPr>
        <w:spacing w:after="120" w:before="240" w:line="220" w:lineRule="atLeast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Table 2.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Boundary clustering on the 59 reference solutions</w:t>
      </w:r>
    </w:p>
    <w:tbl>
      <w:tblPr>
        <w:tblW w:type="dxa" w:w="691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999999" w:sz="2"/>
          <w:insideV w:val="single" w:color="999999" w:sz="2"/>
        </w:tblBorders>
      </w:tblPr>
      <w:tblGrid>
        <w:gridCol w:w="1383"/>
        <w:gridCol w:w="1383"/>
        <w:gridCol w:w="1383"/>
        <w:gridCol w:w="1383"/>
        <w:gridCol w:w="1383"/>
      </w:tblGrid>
      <w:tr>
        <w:trPr>
          <w:tblHeader/>
        </w:trPr>
        <w:tc>
          <w:tcPr>
            <w:tcW w:type="dxa" w:w="1383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Design variable</w:t>
            </w:r>
          </w:p>
        </w:tc>
        <w:tc>
          <w:tcPr>
            <w:tcW w:type="dxa" w:w="1383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Domain</w:t>
            </w:r>
          </w:p>
        </w:tc>
        <w:tc>
          <w:tcPr>
            <w:tcW w:type="dxa" w:w="1383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At upper bound</w:t>
            </w:r>
          </w:p>
        </w:tc>
        <w:tc>
          <w:tcPr>
            <w:tcW w:type="dxa" w:w="1383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Within 5% of upper bound</w:t>
            </w:r>
          </w:p>
        </w:tc>
        <w:tc>
          <w:tcPr>
            <w:tcW w:type="dxa" w:w="1383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At/near lower bound</w:t>
            </w:r>
          </w:p>
        </w:tc>
      </w:tr>
      <w:tr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CatIdx_BTCT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[1, 5]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18/59 (30.5%)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18/59 (30.5%)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D_steel (m)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[0.800, 1.300]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17/59 (28.8%)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41/59 (69.5%)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t_steel (m)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[0.010, 0.025]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2/59 (3.4%)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2/59 (3.4%)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20" w:before="240"/>
        <w:jc w:val="center"/>
      </w:pPr>
      <w:r>
        <w:drawing>
          <wp:inline distT="0" distB="0" distL="0" distR="0">
            <wp:extent cx="41910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120" w:line="220" w:lineRule="atLeast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Fig. 2.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Reference Pareto front (59 solutions) over the feasible combinations explored.</w:t>
      </w:r>
    </w:p>
    <w:p>
      <w:pPr>
        <w:spacing w:after="160" w:before="36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3.2. Per-Algorithm Results and Direct Comparison</w:t>
      </w:r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Over 30 independent runs each (Table 3), both algorithms fill the 100-solution archive every run, but E-MOSFOA covers the 59-solution reference front more fully and more consistently (98.76% ± 0.88% versus 89.27% ± 4.46% for MOFDA) and attains a lower IGD (0.000100 versus 0.000506).</w:t>
      </w:r>
    </w:p>
    <w:p>
      <w:pPr>
        <w:spacing w:after="120" w:before="240" w:line="220" w:lineRule="atLeast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Table 3.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Statistics over 30 runs; Wilcoxon rank-sum test versus MOFDA</w:t>
      </w:r>
    </w:p>
    <w:tbl>
      <w:tblPr>
        <w:tblW w:type="dxa" w:w="691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999999" w:sz="2"/>
          <w:insideV w:val="single" w:color="999999" w:sz="2"/>
        </w:tblBorders>
      </w:tblPr>
      <w:tblGrid>
        <w:gridCol w:w="1729"/>
        <w:gridCol w:w="1729"/>
        <w:gridCol w:w="1729"/>
        <w:gridCol w:w="1729"/>
      </w:tblGrid>
      <w:tr>
        <w:trPr>
          <w:tblHeader/>
        </w:trPr>
        <w:tc>
          <w:tcPr>
            <w:tcW w:type="dxa" w:w="1729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Metric</w:t>
            </w:r>
          </w:p>
        </w:tc>
        <w:tc>
          <w:tcPr>
            <w:tcW w:type="dxa" w:w="1729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MOFDA (mean ± SD)</w:t>
            </w:r>
          </w:p>
        </w:tc>
        <w:tc>
          <w:tcPr>
            <w:tcW w:type="dxa" w:w="1729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E-MOSFOA (mean ± SD)</w:t>
            </w:r>
          </w:p>
        </w:tc>
        <w:tc>
          <w:tcPr>
            <w:tcW w:type="dxa" w:w="1729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p-value</w:t>
            </w:r>
          </w:p>
        </w:tc>
      </w:tr>
      <w:tr>
        <w:tc>
          <w:tcPr>
            <w:tcW w:type="dxa" w:w="17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GD (normalised)</w:t>
            </w:r>
          </w:p>
        </w:tc>
        <w:tc>
          <w:tcPr>
            <w:tcW w:type="dxa" w:w="17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0.000031 ± 0.000081</w:t>
            </w:r>
          </w:p>
        </w:tc>
        <w:tc>
          <w:tcPr>
            <w:tcW w:type="dxa" w:w="17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0.000000 ± 0.000000</w:t>
            </w:r>
          </w:p>
        </w:tc>
        <w:tc>
          <w:tcPr>
            <w:tcW w:type="dxa" w:w="17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0.0419</w:t>
            </w:r>
          </w:p>
        </w:tc>
      </w:tr>
      <w:tr>
        <w:tc>
          <w:tcPr>
            <w:tcW w:type="dxa" w:w="17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IGD (normalised)</w:t>
            </w:r>
          </w:p>
        </w:tc>
        <w:tc>
          <w:tcPr>
            <w:tcW w:type="dxa" w:w="17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0.000506 ± 0.000182</w:t>
            </w:r>
          </w:p>
        </w:tc>
        <w:tc>
          <w:tcPr>
            <w:tcW w:type="dxa" w:w="17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0.000100 ± 0.000074</w:t>
            </w:r>
          </w:p>
        </w:tc>
        <w:tc>
          <w:tcPr>
            <w:tcW w:type="dxa" w:w="17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1.07×10⁻¹⁰</w:t>
            </w:r>
          </w:p>
        </w:tc>
      </w:tr>
      <w:tr>
        <w:tc>
          <w:tcPr>
            <w:tcW w:type="dxa" w:w="17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HV (fixed reference point)</w:t>
            </w:r>
          </w:p>
        </w:tc>
        <w:tc>
          <w:tcPr>
            <w:tcW w:type="dxa" w:w="17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41,654.0150 ± 0.0064</w:t>
            </w:r>
          </w:p>
        </w:tc>
        <w:tc>
          <w:tcPr>
            <w:tcW w:type="dxa" w:w="17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41,654.0214 ± 0.0002</w:t>
            </w:r>
          </w:p>
        </w:tc>
        <w:tc>
          <w:tcPr>
            <w:tcW w:type="dxa" w:w="17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6.53×10⁻¹¹</w:t>
            </w:r>
          </w:p>
        </w:tc>
      </w:tr>
      <w:tr>
        <w:tc>
          <w:tcPr>
            <w:tcW w:type="dxa" w:w="17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Pareto coverage (/59)</w:t>
            </w:r>
          </w:p>
        </w:tc>
        <w:tc>
          <w:tcPr>
            <w:tcW w:type="dxa" w:w="17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52.67 ± 2.63 (89.27%)</w:t>
            </w:r>
          </w:p>
        </w:tc>
        <w:tc>
          <w:tcPr>
            <w:tcW w:type="dxa" w:w="17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58.27 ± 0.52 (98.76%)</w:t>
            </w:r>
          </w:p>
        </w:tc>
        <w:tc>
          <w:tcPr>
            <w:tcW w:type="dxa" w:w="17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3.14×10⁻¹¹</w:t>
            </w:r>
          </w:p>
        </w:tc>
      </w:tr>
    </w:tbl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All four differences are statistically significant at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8"/>
          <w:szCs w:val="18"/>
        </w:rPr>
        <w:t xml:space="preserve">\alpha=0.05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; the HV and GD gaps are numerically small since both algorithms approach the same stable region, so the comparison rests mainly on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IGD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convergence speed against FE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rather than on the final HV gap. Convergence curves (Fig. 3) show E-MOSFOA reaching the stable HV region after only ≈1,000–1,500 FE, against ≈5,000–7,000 FE for MOFDA, with its mean IGD curve lying below MOFDA's throughout the search. This is consistent with E-MOSFOA's cosine phase-control schedule, which drives exploration-to-exploitation transition explicitly from early in the search, unlike MOFDA's decaying weight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8"/>
          <w:szCs w:val="18"/>
        </w:rPr>
        <w:t xml:space="preserve">(1-iter/Max\_iter)^{2\cdot randn}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, which depends heavily on a random term each iteration; the leader-guided mutation and late-stage Gaussian refinement may further help E-MOSFOA track the front once a good region is found. This is offered as a mechanism-level reading of the data, not a separate sensitivity analysis isolating each mechanism.</w:t>
      </w:r>
    </w:p>
    <w:p>
      <w:pPr>
        <w:spacing w:after="120" w:before="240"/>
        <w:jc w:val="center"/>
      </w:pPr>
      <w:r>
        <w:drawing>
          <wp:inline distT="0" distB="0" distL="0" distR="0">
            <wp:extent cx="3810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120" w:line="220" w:lineRule="atLeast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Fig. 3.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Convergence curves of IGD and HV against the number of FEM evaluations.</w:t>
      </w:r>
    </w:p>
    <w:p>
      <w:pPr>
        <w:spacing w:after="160" w:before="36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3.3. Scope Limitations</w:t>
      </w:r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The concentration of Pareto solutions near the upper bound of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8"/>
          <w:szCs w:val="18"/>
        </w:rPr>
        <w:t xml:space="preserve">D_{steel}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means the search range may not fully capture the trade-off region at larger diameters, though the algorithm comparison itself remains valid since both are judged against the same reference front.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8"/>
          <w:szCs w:val="18"/>
        </w:rPr>
        <w:t xml:space="preserve">K_s=0.32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for the fractured-rock layer is a conservative assumption pending measured RQD data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8"/>
          <w:szCs w:val="18"/>
        </w:rPr>
        <w:t xml:space="preserve">\gamma_n=1.15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is, by contrast, confirmed). Pile-group interaction, the storm load combination, and p–y soil–pile interaction are outside the present scope, which is limited to linear-static analysis.</w:t>
      </w:r>
    </w:p>
    <w:p>
      <w:pPr>
        <w:spacing w:after="240" w:before="360" w:line="300" w:lineRule="atLeast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Conclusion and recommendations</w:t>
      </w:r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A discrete multi-objective optimization problem was formulated for the pile-system cross-sections of a 100,000-DWT container wharf (4,080 combinations; structural, TCVN 10304:2025 geotechnical, and uplift constraints), and an exhaustive reference Pareto front (59 solutions) was built as an external, algorithm-independent benchmark; this front shows boundary clustering toward larger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8"/>
          <w:szCs w:val="18"/>
        </w:rPr>
        <w:t xml:space="preserve">D_{steel}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, a scope limitation for generalising absolute values. Comparing MOFDA and E-MOSFOA on the identical problem, model, objectives, constraints and FE budget (30 runs each), E-MOSFOA attains a markedly lower IGD (0.000100 versus 0.000506, p = 1.07×10⁻¹⁰), converges roughly five times faster in FE terms, and covers the reference front more fully and steadily (98.76% ± 0.88% versus 89.27% ± 4.46%). Within the scope examined, E-MOSFOA is therefore the more favourable choice on convergence speed — without implying a universal advantage on other structural problems — and these results give a quantitative reference for algorithm selection in similarly constrained port pile-design problems. Before the optimized mass/displacement values are used in a formal design, the limitations of Section 3.3 (search range at large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8"/>
          <w:szCs w:val="18"/>
        </w:rPr>
        <w:t xml:space="preserve">D_{steel}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, the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8"/>
          <w:szCs w:val="18"/>
        </w:rPr>
        <w:t xml:space="preserve">K_s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assumption, no pile-group effect) should be reconfirmed against fuller field and design data.</w:t>
      </w:r>
    </w:p>
    <w:p>
      <w:pPr>
        <w:spacing w:after="240" w:before="360" w:line="300" w:lineRule="atLeast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Acknowledgments</w:t>
      </w:r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This research was financially supported by Vietnam Maritime University.</w:t>
      </w:r>
    </w:p>
    <w:p>
      <w:pPr>
        <w:spacing w:after="240" w:before="360" w:line="300" w:lineRule="atLeast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Disclosure of Interests</w:t>
      </w:r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The authors have no competing interests to declare that are relevant to the content of this article.</w:t>
      </w:r>
    </w:p>
    <w:p>
      <w:pPr>
        <w:spacing w:after="240" w:before="360" w:line="300" w:lineRule="atLeast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References</w:t>
      </w:r>
    </w:p>
    <w:p>
      <w:pPr>
        <w:spacing w:line="220" w:lineRule="atLeast"/>
        <w:ind w:left="567" w:hanging="567"/>
        <w:jc w:val="both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[1]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Vu-Huu, T., Khatir, S., Cuong-Le, T.: Real-World Steel Frame Optimization Using a Hybrid Leader Selection-Based Multi-Objective Flow Direction Algorithm. International Journal for Numerical Methods in Engineering 126(15), e70098 (2025). https://doi.org/10.1002/nme.70098</w:t>
      </w:r>
    </w:p>
    <w:p>
      <w:pPr>
        <w:spacing w:line="220" w:lineRule="atLeast"/>
        <w:ind w:left="567" w:hanging="567"/>
        <w:jc w:val="both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[2]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Do-Quang, T., Vu-Huu, T., Le, C.T.: Multi-objective Optimization of Marine Structures Using an Enhanced Starfish Algorithm. Proceedings of the Institution of Civil Engineers – Structures and Buildings (2026). https://doi.org/10.1680/jstbu.26.00159</w:t>
      </w:r>
    </w:p>
    <w:p>
      <w:pPr>
        <w:spacing w:line="220" w:lineRule="atLeast"/>
        <w:ind w:left="567" w:hanging="567"/>
        <w:jc w:val="both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[3]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AMACCAO PILE: Catalogue and technical specifications of AMACCAO spun concrete piles D300–D1200, following TCVN 7888:2014 and JIS A 5373:2016 (2014).</w:t>
      </w:r>
    </w:p>
    <w:p>
      <w:pPr>
        <w:spacing w:line="220" w:lineRule="atLeast"/>
        <w:ind w:left="567" w:hanging="567"/>
        <w:jc w:val="both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[4]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Ministry of Science and Technology: TCVN 11820-5:2021 — Port and Harbour Engineering — Design Requirements — Part 5: Quay Structures (2021).</w:t>
      </w:r>
    </w:p>
    <w:p>
      <w:pPr>
        <w:spacing w:line="220" w:lineRule="atLeast"/>
        <w:ind w:left="567" w:hanging="567"/>
        <w:jc w:val="both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[5]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Vietnam Standards and Quality Institute: TCVN 10304:2025 (2nd edition) — Pile Foundation Design (2025).</w:t>
      </w:r>
    </w:p>
    <w:p>
      <w:pPr>
        <w:spacing w:line="220" w:lineRule="atLeast"/>
        <w:ind w:left="567" w:hanging="567"/>
        <w:jc w:val="both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[6]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Ministry of Science and Technology: TCVN 9245:2012 — Steel Pipe Piles (2012).</w:t>
      </w:r>
    </w:p>
    <w:p>
      <w:pPr>
        <w:spacing w:line="220" w:lineRule="atLeast"/>
        <w:ind w:left="567" w:hanging="567"/>
        <w:jc w:val="both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[7]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Zhong, C., et al.: Starfish optimization algorithm (SFOA): a bio-inspired metaheuristic algorithm for global optimization compared with 100 optimizers. Neural Computing and Applications, 3641–3683 (2025).</w:t>
      </w:r>
    </w:p>
    <w:p>
      <w:pPr>
        <w:spacing w:before="60"/>
        <w:jc w:val="left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Received: xx/xx/2026</w:t>
      </w:r>
    </w:p>
    <w:p>
      <w:pPr>
        <w:spacing w:before="60"/>
        <w:jc w:val="left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Revised: xx/xx/2026</w:t>
      </w:r>
    </w:p>
    <w:p>
      <w:pPr>
        <w:spacing w:before="60"/>
        <w:jc w:val="left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Accepted: xx/xx/2026</w:t>
      </w:r>
    </w:p>
    <w:sectPr>
      <w:pgSz w:w="11906" w:h="16838" w:orient="portrait"/>
      <w:pgMar w:top="2948" w:right="2495" w:bottom="2948" w:left="2495" w:header="2381" w:footer="2325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72f9fc91168a3cc5fd809699a36a528831db47a.png"/><Relationship Id="rId8" Type="http://schemas.openxmlformats.org/officeDocument/2006/relationships/image" Target="media/a3c29b055c0898259581345e8c2a303699c95ee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2026-09-11T08:01:21.556Z</dcterms:created>
  <dcterms:modified xsi:type="dcterms:W3CDTF">2026-09-11T08:01:21.557Z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