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line="360" w:lineRule="atLeast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Multi-Objective Optimization of Pile-System Cross-Sections for a 100,000-DWT Container Wharf: A Comparison Between MOFDA and MOSFOA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Thanh Do-Quang¹,*, T. Vu-Huu¹, Thanh Cuong-Le²</w:t>
      </w:r>
    </w:p>
    <w:p>
      <w:pPr>
        <w:spacing w:after="200" w:line="220" w:lineRule="atLeast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¹ Faculty of Civil Engineering, Vietnam Maritime University, Haiphong City,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² Faculty of Civil Engineering and Electricity, Ho Chi Minh City Open University,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*Corresponding author: thanhdq.ctt@viamru.edu.vn</w:t>
      </w:r>
    </w:p>
    <w:p>
      <w:pPr>
        <w:spacing w:after="360" w:before="600" w:line="220" w:lineRule="atLeast"/>
        <w:ind w:left="567" w:right="567"/>
        <w:jc w:val="both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Pile-supported container wharves carry a large mass of pile material, so a pile cross-section can be selected through constrained multi-objective optimization rather than experience alone. This study formulates a discrete multi-objective problem for the cross-sections of prestressed spun-concrete piles and steel pipe piles at an actual 100,000-DWT container wharf (4,080 combinations), subject to structural constraints, a geotechnical bearing-capacity constraint under TCVN 10304:2025, and a pile-uplift constraint. Material mass and maximum lateral displacement are evaluated through a SAP2000 model coupled with MATLAB via OAPI. Two multi-objective metaheuristics previously reported by the same group, MOFDA (flow-direction search, hybrid leader selection) and MOSFOA (starfish-inspired search, run here as the enhanced E-MOSFOA variant), are compared on the identical problem, model, objectives, constraints and evaluation budget (12,550 finite-element calls/run, 30 independent runs each), benchmarked against a reference Pareto front from an exhaustive search of all 4,080 combinations (59 non-dominated solutions). E-MOSFOA converges faster and approaches the reference front more closely under the same budget (mean normalised IGD 0.000100 versus 0.000506 for MOFDA; Wilcoxon rank-sum p = 1.07×10⁻¹⁰), reaching the stable hypervolume region after only about 1,000–1,500 evaluations against roughly 5,000–7,000 for MOFDA, and attains higher, steadier coverage of the reference front (98.76% ± 0.88% versus 89.27% ± 4.46%). These findings offer a quantitative reference for algorithm selection in similarly constrained pile-cross-section design problems for port structures.</w:t>
      </w:r>
    </w:p>
    <w:p>
      <w:pPr>
        <w:spacing w:before="220"/>
        <w:ind w:left="567" w:right="567"/>
        <w:jc w:val="lef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Keywords: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multi-objective optimization; MOFDA algorithm; MOSFOA algorithm; pile cross-section design; pile-supported container wharf; SAP2000–MATLAB coupling.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Introduction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Pile-supported container wharves are a common structural form for large-tonnage seaports in Vietnam, and the pile system — prestressed spun-concrete (PHC) piles combined with steel pipe piles — dominates both load-bearing function and material cost. Constrained multi-objective optimization coupled with a finite-element model lets the trade-off between material mass and displacement be explored systematically rather than only verified for a single, experience-based design.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Two metaheuristic-based multi-objective algorithms have been developed and reported by this group: MOFDA, a flow-direction algorithm with hybrid leader selection, validated on benchmark functions, constrained engineering problems and a steel-frame structure [1]; and MOSFOA, a starfish-inspired algorithm offered as B-MOSFOA and the enhanced E-MOSFOA, validated on IMOP/UF/RM-MEDA benchmarks and a separate port structure [2]. Each was verified on a different structure under non-identical conditions, so no direct comparison had existed. This paper asks: under the same MATLAB–SAP2000 evaluation system, objectives, constraints and finite-element budget, how do MOFDA and MOSFOA differ in solution quality and convergence speed on one real pile-cross-section design problem — the 100,000-DWT Lach Huyen container wharf, 4,080 design combinations, structural and geotechnical constraints (TCVN 10304:2025) and pile uplift? The contributions are: (i) a discrete optimization formulation with structural, geotechnical and uplift constraints; (ii) an exhaustive reference Pareto front independent of either algorithm's search; and (iii) a quantitative comparison of MOFDA and E-MOSFOA via IGD, hypervolume, Pareto coverage, the Wilcoxon rank-sum test and FE-based convergence curves, with conclusions drawn only from the data in Section 3.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Research Method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2.1. Structure, Finite-Element Model and Design Variables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structure is a 100,000-DWT container wharf of the Lach Huyen international gateway port, Haiphong — an onshore quay on a high-piled deck. The analysed segment is about 75 m long, deck-top at +5.50 m, dredged bed at −16.0 m, for a design vessel of 330 m length and 14.8 m draught. Each segment has 132 prestressed spun-concrete piles and 60 steel pipe piles (D1016), 192 in total; pile cross-section is the design variable, applied uniformly per pile type, with position, rake and embedment length held fixed so that geotechnical constraints stay consistent across combinations. A linear-static SAP2000 model (4,913 joints, 1,734 frame and 4,488 shell elements) provides displacements and forces under the governing envelope combination "BAO KT"; the storm combination is outside this envelope and outside the present scope (Section 3.4). The pile tips sit in a stiff clay/weathered claystone layer (concrete piles) and a strongly fractured weathered rock layer (steel piles); pile-group interaction is not considered.</w:t>
      </w:r>
    </w:p>
    <w:p>
      <w:pPr>
        <w:keepNext/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[Insert Fig. 1 – SAP2000 model image here]</w:t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SAP2000 model of the 100,000-DWT container wharf.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Three discrete design variables are used: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 </m:t>
        </m:r>
        <m:r>
          <m:t>C</m:t>
        </m:r>
        <m:r>
          <m:t>a</m:t>
        </m:r>
        <m:r>
          <m:t>t</m:t>
        </m:r>
        <m:r>
          <m:t>I</m:t>
        </m:r>
        <m:r>
          <m:t>d</m:t>
        </m:r>
        <m:sSub>
          <m:e>
            <m:r>
              <m:t>x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t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t> 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(1)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where </w:t>
      </w:r>
      <m:oMath>
        <m:r>
          <m:t>C</m:t>
        </m:r>
        <m:r>
          <m:t>a</m:t>
        </m:r>
        <m:r>
          <m:t>t</m:t>
        </m:r>
        <m:r>
          <m:t>I</m:t>
        </m:r>
        <m:r>
          <m:t>d</m:t>
        </m:r>
        <m:sSub>
          <m:e>
            <m:r>
              <m:t>x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indexes a row of the AMACCAO PHC-pile catalogue (Table 1, TCVN 7888:2014/JIS A 5373:2016 [3]); </w:t>
      </w:r>
      <m:oMath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0.800</m:t>
        </m:r>
        <m:r>
          <m:rPr>
            <m:sty m:val="p"/>
          </m:rPr>
          <m:t>,</m:t>
        </m:r>
        <m:r>
          <m:t>1.300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0.01 m, 51 values); </w:t>
      </w:r>
      <m:oMath>
        <m:sSub>
          <m:e>
            <m:r>
              <m:t>t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0.010</m:t>
        </m:r>
        <m:r>
          <m:rPr>
            <m:sty m:val="p"/>
          </m:rPr>
          <m:t>,</m:t>
        </m:r>
        <m:r>
          <m:t>0.025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0.001 m, 16 values) — giving </w:t>
      </w:r>
      <m:oMath>
        <m:r>
          <m:t>5</m:t>
        </m:r>
        <m:r>
          <m:rPr>
            <m:sty m:val="p"/>
          </m:rPr>
          <m:t>×</m:t>
        </m:r>
        <m:r>
          <m:t>51</m:t>
        </m:r>
        <m:r>
          <m:rPr>
            <m:sty m:val="p"/>
          </m:rPr>
          <m:t>×</m:t>
        </m:r>
        <m:r>
          <m:t>16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=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4,080 combinations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AMACCAO PHC-pile catalogue used (Class A, TCVN 7888:2014)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CatIdx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 (m²)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Mcr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Mu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Pvl (t)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0.15708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25.51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0.20389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0.120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0.25635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55.50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0.31447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48.95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73.42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0.35531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62.22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93.32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1,100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two objectives are the pile material mass and the maximum lateral displacement: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t> </m:t>
        </m:r>
        <m:r>
          <m:rPr>
            <m:sty m:val="p"/>
          </m:rPr>
          <m:t>Σ</m:t>
        </m:r>
        <m:sSub>
          <m:e>
            <m:r>
              <m:t>L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t> </m:t>
        </m:r>
        <m:sSub>
          <m:e>
            <m:r>
              <m:t>γ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c</m:t>
            </m:r>
            <m:r>
              <m:t>r</m:t>
            </m:r>
            <m:r>
              <m:t>e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+</m:t>
        </m:r>
        <m:r>
          <m:t>A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t> </m:t>
        </m:r>
        <m:r>
          <m:rPr>
            <m:sty m:val="p"/>
          </m:rPr>
          <m:t>Σ</m:t>
        </m:r>
        <m:sSub>
          <m:e>
            <m:r>
              <m:t>L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t> </m:t>
        </m:r>
        <m:sSub>
          <m:e>
            <m:r>
              <m:t>γ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(2)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bSup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(3)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with </w:t>
      </w:r>
      <m:oMath>
        <m:sSub>
          <m:e>
            <m:r>
              <m:t>γ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c</m:t>
            </m:r>
            <m:r>
              <m:t>r</m:t>
            </m:r>
            <m:r>
              <m:t>e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</w:t>
      </w:r>
      <m:oMath>
        <m:sSub>
          <m:e>
            <m:r>
              <m:t>γ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=</m:t>
        </m:r>
        <m:r>
          <m:t>7.85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under the "BAO KT" envelope.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2.2. Constraints and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Structural constraints comprise: the concrete-pile axial force–moment interaction, using catalogue values directly, </w:t>
      </w:r>
      <m:oMath>
        <m:r>
          <m:t>N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v</m:t>
            </m:r>
            <m:r>
              <m:t>l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u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(4); steel-pile stress </w:t>
      </w:r>
      <m:oMath>
        <m:r>
          <m:t>σ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r>
          <m:t>W</m:t>
        </m:r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γ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kg/cm² [6], </w:t>
      </w:r>
      <m:oMath>
        <m:sSub>
          <m:e>
            <m:r>
              <m:t>γ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); and lateral displacement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a</m:t>
            </m:r>
            <m:r>
              <m:t>l</m:t>
            </m:r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U</m:t>
            </m:r>
          </m:e>
          <m:sub>
            <m:r>
              <m:t>a</m:t>
            </m:r>
            <m:r>
              <m:t>l</m:t>
            </m:r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71.7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mm, TCVN 11820-5:2021 [4]). The geotechnical constraint follows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TCVN 10304:2025 [5]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 a friction-pile formula for the concrete pile (clay tip) and an end-bearing-on-rock formula for the steel pile (fractured-rock tip, strength-reduction factor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0.32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conservative value adopted for lack of measured RQD), checked as 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γ</m:t>
            </m:r>
          </m:e>
          <m:sub>
            <m:r>
              <m:t>k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1.4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1.15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consequence class C2). An uplift check (18/360 steel piles found in tension, up to ≈31 t) uses shaft friction only (</w:t>
      </w:r>
      <m:oMath>
        <m:sSub>
          <m:e>
            <m:r>
              <m:t>γ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). All violations are combined into one penalty applied to both objectives: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d>
          <m:dPr>
            <m:begChr m:val="["/>
            <m:sepChr m:val=""/>
            <m:endChr m:val="]"/>
            <m:grow/>
          </m:dPr>
          <m:e>
            <m:r>
              <m:t> </m:t>
            </m:r>
            <m:r>
              <m:t>1</m:t>
            </m:r>
            <m:r>
              <m:rPr>
                <m:sty m:val="p"/>
              </m:rPr>
              <m:t>+</m:t>
            </m:r>
            <m:r>
              <m:t>C</m:t>
            </m:r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  <m:r>
              <m:t> </m:t>
            </m:r>
          </m:e>
        </m:d>
        <m:r>
          <m:rPr>
            <m:sty m:val="p"/>
          </m:rPr>
          <m:t>,</m:t>
        </m:r>
        <m:r>
          <m:t> 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(5)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held fixed for both algorithms. All 4,080 combinations were evaluated by the same FE model to build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reference Pareto front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independent of either algorithm's search: 3,337/4,080 combinations proved feasible, yielding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59 non-dominated solutions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2.3. Compared Algorithms and Fair Evaluation Budget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MOFDA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[1] extends the Flow Direction Algorithm with an external Pareto archive (adaptive grid) and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hybrid leader-selection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rule scoring each archived solution as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G</m:t>
        </m:r>
        <m:sSub>
          <m:e>
            <m:r>
              <m:t>I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D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den>
        </m:f>
      </m:oMath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</w:t>
      </w:r>
      <m:oMath>
        <m:r>
          <m:t>G</m:t>
        </m:r>
        <m:sSub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grid index, </w:t>
      </w:r>
      <m:oMath>
        <m:r>
          <m:t>D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local density,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random perturbation), the leader being the lowest-scoring individual — favouring sparse regions while limiting premature convergence relative to plain roulette-wheel selection.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run here 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E-MOSFOA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[2], extends the Starfish Optimization Algorithm [7] with a Pareto archive plus three refinements: cosine phase control, </w:t>
      </w:r>
      <m:oMath>
        <m:r>
          <m:t>G</m:t>
        </m:r>
        <m:r>
          <m:t>P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G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π</m:t>
            </m:r>
            <m:r>
              <m:t> </m:t>
            </m:r>
            <m:r>
              <m:t>i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_</m:t>
            </m:r>
            <m:r>
              <m:t>i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replacing a fixed exploration probability; a leader-guided DE-mutation, </w:t>
      </w:r>
      <m:oMath>
        <m:r>
          <m:t>m</m:t>
        </m:r>
        <m:r>
          <m:t>u</m:t>
        </m:r>
        <m:r>
          <m:t>t</m:t>
        </m:r>
        <m:r>
          <m:t>a</m:t>
        </m:r>
        <m:r>
          <m:t>n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r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r</m:t>
            </m:r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F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t>t</m:t>
        </m:r>
        <m:r>
          <m:rPr>
            <m:sty m:val="p"/>
          </m:rPr>
          <m:t>/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λ</m:t>
        </m:r>
        <m:r>
          <m:rPr>
            <m:sty m:val="p"/>
          </m:rPr>
          <m:t>=</m:t>
        </m:r>
        <m:r>
          <m:t>0.3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; and an archive-based Gaussian refinement active in the final 20% of iterations. Both algorithms have each been separately validated on an actual port/marine structure [1, 2].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MOFDA (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β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neighbours/individual) and E-MOSFOA (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=</m:t>
        </m:r>
        <m:r>
          <m:t>250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use different loop structures, so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finite-element evaluations (FE)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iterations are used as the common cost unit: </w:t>
      </w:r>
      <m:oMath>
        <m:r>
          <m:t>F</m:t>
        </m:r>
        <m:r>
          <m:t>E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=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12,550/run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both, with </w:t>
      </w: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 Both share the same archive capacity (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), grid resolution (</w:t>
      </w:r>
      <m:oMath>
        <m:r>
          <m:t>n</m:t>
        </m:r>
        <m:r>
          <m:t>G</m:t>
        </m:r>
        <m:r>
          <m:t>r</m:t>
        </m:r>
        <m:r>
          <m:t>i</m:t>
        </m:r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and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independent runs.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Each algorithm was run 30 times against the exhaustive reference front, compared via the two-sided Wilcoxon rank-sum test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(normalised by the reference front's range),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hypervolume (HV)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(fixed reference point for both algorithms)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Pareto coverage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r>
          <m:rPr>
            <m:nor/>
            <m:sty m:val="p"/>
          </m:rPr>
          <m:t>Pareto coverage (%)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distinct reference solutions found</m:t>
            </m:r>
          </m:num>
          <m:den>
            <m:r>
              <m:t>59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using a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fitness-matching tolerance fixed in advance.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Experimental Results and Reviews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3.1.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Material mass of the 59 reference solutions ranges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3,317.3–5,189.4 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displacement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9.83–16.27 mm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both well inside the TCVN 11820-5:2021 limit. Boundary clustering (Table 2) shows the Pareto solutions concentrate strongly toward the upper end of </w:t>
      </w:r>
      <m:oMath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(about 70% within the top 5% of its range) and, more weakly, toward the largest CatIdx_BTCT row — indicating that the search range may not fully capture the trade-off region at still-larger diameters (Section 3.4).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Boundary clustering on the 59 reference solutions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383"/>
        <w:gridCol w:w="1383"/>
        <w:gridCol w:w="1383"/>
        <w:gridCol w:w="1383"/>
        <w:gridCol w:w="1383"/>
      </w:tblGrid>
      <w:tr>
        <w:trPr>
          <w:tblHeader/>
        </w:trPr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Design variable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Domain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Within 5% of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At/near lower bound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CatIdx_BTCT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[1, 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D_steel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[0.800, 1.300]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17/59 (28.8%)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41/59 (69.5%)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t_steel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[0.010, 0.025]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20" w:before="240"/>
        <w:jc w:val="center"/>
      </w:pPr>
      <w:r>
        <w:drawing>
          <wp:inline distT="0" distB="0" distL="0" distR="0">
            <wp:extent cx="4191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Reference Pareto front (59 solutions) over the feasible combinations explored.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3.2. Per-Algorithm Results and Direct Comparison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Over 30 independent runs each (Table 3), both algorithms fill the 100-solution archive every run, but E-MOSFOA covers the 59-solution reference front more fully and more consistently (98.76% ± 0.88% versus 89.27% ± 4.46% for MOFDA) and attains a lower IGD (0.000100 versus 0.000506).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Statistics over 30 runs; Wilcoxon rank-sum test versus MOFDA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729"/>
        <w:gridCol w:w="1729"/>
        <w:gridCol w:w="1729"/>
        <w:gridCol w:w="1729"/>
      </w:tblGrid>
      <w:tr>
        <w:trPr>
          <w:tblHeader/>
        </w:trPr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Metric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MOFDA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E-MOSFOA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p-value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0.000031 ± 0.000081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0.000000 ± 0.000000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0.0419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0.000506 ± 0.000182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0.000100 ± 0.000074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1.07×10⁻¹⁰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HV (fixed reference point)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41,654.0150 ± 0.0064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41,654.0214 ± 0.0002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6.53×10⁻¹¹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Pareto coverage (/59)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52.67 ± 2.63 (89.27%)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58.27 ± 0.52 (98.76%)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3.14×10⁻¹¹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All four differences are statistically significant at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; the HV and GD gaps are numerically small since both algorithms approach the same stable region, so the comparison rests mainly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convergence speed against FE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on the final HV gap. Convergence curves (Fig. 3) show E-MOSFOA reaching the stable HV region after only ≈1,000–1,500 FE, against ≈5,000–7,000 FE for MOFDA, with its mean IGD curve lying below MOFDA's throughout the search. This is consistent with E-MOSFOA's cosine phase-control schedule, which drives exploration-to-exploitation transition explicitly from early in the search, unlike MOFDA's decaying weight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t>e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t>r</m:t>
            </m:r>
            <m:r>
              <m:t>a</m:t>
            </m:r>
            <m:r>
              <m:t>n</m:t>
            </m:r>
            <m:r>
              <m:t>d</m:t>
            </m:r>
            <m:r>
              <m:t>n</m:t>
            </m:r>
          </m:sup>
        </m:sSup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which depends heavily on a random term each iteration; the leader-guided mutation and late-stage Gaussian refinement may further help E-MOSFOA track the front once a good region is found. This is offered as a mechanism-level reading of the data, not a separate sensitivity analysis isolating each mechanism.</w:t>
      </w:r>
    </w:p>
    <w:p>
      <w:pPr>
        <w:keepNext/>
        <w:spacing w:after="120" w:before="240"/>
        <w:jc w:val="center"/>
      </w:pPr>
      <w:r>
        <w:drawing>
          <wp:inline distT="0" distB="0" distL="0" distR="0">
            <wp:extent cx="3810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Convergence curves of IGD and HV against the number of FEM evaluations.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3.3. Scope Limitations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concentration of Pareto solutions near the upper bound of </w:t>
      </w:r>
      <m:oMath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means the search range may not fully capture the trade-off region at larger diameters, though the algorithm comparison itself remains valid since both are judged against the same reference front.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0.32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the fractured-rock layer is a conservative assumption pending measured RQD data (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1.15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is, by contrast, confirmed). Pile-group interaction, the storm load combination, and p–y soil–pile interaction are outside the present scope, which is limited to linear-static analysis.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Conclusion and recommendations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Problem formulation and reference Pareto front.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 discrete multi-objective optimization problem was formulated for the pile-system cross-sections of a 100,000-DWT container wharf (4,080 combinations; structural, TCVN 10304:2025 geotechnical, and uplift constraints), and an exhaustive reference Pareto front (59 solutions) was built as an external, algorithm-independent benchmark; this front shows boundary clustering toward larger </w:t>
      </w:r>
      <m:oMath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scope limitation for generalising absolute values.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Quantitative comparison between MOFDA and E-MOSFOA.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Comparing MOFDA and E-MOSFOA on the identical problem, model, objectives, constraints and FE budget (30 runs each), E-MOSFOA attains a markedly lower IGD (0.000100 versus 0.000506, p = 1.07×10⁻¹⁰), converges roughly five times faster in FE terms, and covers the reference front more fully and steadily (98.76% ± 0.88% versus 89.27% ± 4.46%).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Convergence speed and scope of the comparison.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Within the scope examined, E-MOSFOA is therefore the more favourable choice on convergence speed — without implying a universal advantage on other structural problems — and these results give a quantitative reference for algorithm selection in similarly constrained port pile-design problems.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Engineering limitations and recommendation for further verification.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Before the optimized mass/displacement values are used in a formal design, the limitations of Section 3.3 (search range at large </w:t>
      </w:r>
      <m:oMath>
        <m:sSub>
          <m:e>
            <m:r>
              <m:t>D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the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assumption, no pile-group effect) should be reconfirmed against fuller field and design data.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Acknowledgments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This research was financially supported by Vietnam Maritime University.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Disclosure of Interests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authors have no competing interests to declare that are relevant to the content of this article.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Vu-Huu, T., Khatir, S., Cuong-Le, T.: Real-World Steel Frame Optimization Using a Hybrid Leader Selection-Based Multi-Objective Flow Direction Algorithm. International Journal for Numerical Methods in Engineering 126(15), e70098 (2025). https://doi.org/10.1002/nme.70098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Do-Quang, T., Vu-Huu, T., Le, C.T.: Multi-objective Optimization of Marine Structures Using an Enhanced Starfish Algorithm. Proceedings of the Institution of Civil Engineers – Structures and Buildings (2026). https://doi.org/10.1680/jstbu.26.00159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[3]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AMACCAO PILE: Catalogue and technical specifications of AMACCAO spun concrete piles D300–D1200, following TCVN 7888:2014 and JIS A 5373:2016 (2014).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[4]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11820-5:2021 — Port and Harbour Engineering — Design Requirements — Part 5: Quay Structures (2021).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[5]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Vietnam Standards and Quality Institute: TCVN 10304:2025 (2nd edition) — Pile Foundation Design (2025).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[6]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9245:2012 — Steel Pipe Piles (2012).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[7]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Zhong, C., et al.: Starfish optimization algorithm (SFOA): a bio-inspired metaheuristic algorithm for global optimization compared with 100 optimizers. Neural Computing and Applications, 3641–3683 (2025).</w:t>
      </w:r>
    </w:p>
    <w:sectPr>
      <w:headerReference w:type="even" r:id="rId10"/>
      <w:headerReference w:type="default" r:id="rId11"/>
      <w:pgSz w:w="11906" w:h="16838" w:orient="portrait"/>
      <w:pgMar w:top="2948" w:right="2495" w:bottom="2948" w:left="2495" w:header="2381" w:footer="2325" w:gutter="0"/>
      <w:pgNumType/>
      <w:titlePg/>
      <w:docGrid w:linePitch="24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ind w:firstLine="0"/>
      <w:jc w:val="left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 PAGE   \* MERGEFORMAT 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noProof/>
        <w:sz w:val="18"/>
        <w:szCs w:val="18"/>
      </w:rPr>
      <w:t>2</w:t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ind w:firstLine="0"/>
      <w:jc w:val="right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 PAGE   \* MERGEFORMAT 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noProof/>
        <w:sz w:val="18"/>
        <w:szCs w:val="18"/>
      </w:rPr>
      <w:t>3</w:t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2f9fc91168a3cc5fd809699a36a528831db47a.png"/><Relationship Id="rId8" Type="http://schemas.openxmlformats.org/officeDocument/2006/relationships/image" Target="media/a3c29b055c0898259581345e8c2a303699c95eeb.png"/><Relationship Id="rId9" Type="http://schemas.openxmlformats.org/officeDocument/2006/relationships/fontTable" Target="fontTable.xml"/><Relationship Id="rId10" Type="http://schemas.openxmlformats.org/officeDocument/2006/relationships/header" Target="header1.xml"/><Relationship Id="rId11" Type="http://schemas.openxmlformats.org/officeDocument/2006/relationships/header" Target="head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2026-09-12T03:00:45.965Z</dcterms:created>
  <dcterms:modified xsi:type="dcterms:W3CDTF">2026-09-12T03:00:45.966Z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