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BÁO CÁO PHẢN BIỆN KHOA HỌC (REVIEWER REPORT)</w:t>
      </w:r>
    </w:p>
    <w:p>
      <w:pPr>
        <w:numPr>
          <w:ilvl w:val="0"/>
          <w:numId w:val="1001"/>
        </w:numPr>
      </w:pPr>
      <w:r>
        <w:rPr>
          <w:b/>
          <w:bCs/>
        </w:rPr>
        <w:t xml:space="preserve">Tên bản thảo:</w:t>
      </w:r>
      <w:r>
        <w:t xml:space="preserve"> </w:t>
      </w:r>
      <w:r>
        <w:t xml:space="preserve">Ứng dụng thuật toán tối ưu sao biển cho tối ưu đơn mục tiêu kết cấu công trình biển</w:t>
      </w:r>
    </w:p>
    <w:p>
      <w:pPr>
        <w:numPr>
          <w:ilvl w:val="0"/>
          <w:numId w:val="1001"/>
        </w:numPr>
      </w:pPr>
      <w:r>
        <w:rPr>
          <w:b/>
          <w:bCs/>
        </w:rPr>
        <w:t xml:space="preserve">Tạp chí dự kiến:</w:t>
      </w:r>
      <w:r>
        <w:t xml:space="preserve"> </w:t>
      </w:r>
      <w:r>
        <w:t xml:space="preserve">Tạp chí Xây dựng (TCXD)</w:t>
      </w:r>
    </w:p>
    <w:p>
      <w:pPr>
        <w:numPr>
          <w:ilvl w:val="0"/>
          <w:numId w:val="1001"/>
        </w:numPr>
      </w:pPr>
      <w:r>
        <w:rPr>
          <w:b/>
          <w:bCs/>
        </w:rPr>
        <w:t xml:space="preserve">Chuyên gia phản biện:</w:t>
      </w:r>
      <w:r>
        <w:t xml:space="preserve"> </w:t>
      </w:r>
      <w:r>
        <w:t xml:space="preserve">Nhà khoa học / Chuyên gia Lĩnh vực Tối ưu hóa Kết cấu Công trình</w:t>
      </w:r>
    </w:p>
    <w:p>
      <w:pPr>
        <w:numPr>
          <w:ilvl w:val="0"/>
          <w:numId w:val="1001"/>
        </w:numPr>
      </w:pPr>
      <w:r>
        <w:rPr>
          <w:b/>
          <w:bCs/>
        </w:rPr>
        <w:t xml:space="preserve">Ngày phản biện:</w:t>
      </w:r>
      <w:r>
        <w:t xml:space="preserve"> </w:t>
      </w:r>
      <w:r>
        <w:t xml:space="preserve">21/08/2026</w:t>
      </w:r>
    </w:p>
    <w:p>
      <w:pPr>
        <w:numPr>
          <w:ilvl w:val="0"/>
          <w:numId w:val="1001"/>
        </w:numPr>
      </w:pPr>
      <w:r>
        <w:rPr>
          <w:b/>
          <w:bCs/>
        </w:rPr>
        <w:t xml:space="preserve">Khuyến nghị chung:</w:t>
      </w:r>
      <w:r>
        <w:t xml:space="preserve"> </w:t>
      </w:r>
      <w:r>
        <w:rPr>
          <w:b/>
          <w:bCs/>
        </w:rPr>
        <w:t xml:space="preserve">Chấp nhận đăng sau khi sửa chữa nhỏ (Minor Revision)</w:t>
      </w:r>
    </w:p>
    <w:p>
      <w:pPr>
        <w:pStyle w:val="Heading2"/>
      </w:pPr>
      <w:r>
        <w:t xml:space="preserve">I. ĐÁNH GIÁ TỔNG QUAN (GENERAL ASSESSMENT)</w:t>
      </w:r>
    </w:p>
    <w:p>
      <w:pPr>
        <w:pStyle w:val="FirstParagraph"/>
      </w:pPr>
      <w:r>
        <w:t xml:space="preserve">Bản thảo nghiên cứu việc ứng dụng thuật toán tối ưu sao biển nguyên bản (Starfish Optimization Algorithm - SFOA) để giải quyết hai bài toán tối ưu đơn mục tiêu (SOO) trên hệ kết cấu cầu cảng chính (Main Jetty Platform - MJP). Tác giả đã xây dựng thành công framework liên kết lặp trực tiếp giữa MATLAB và phần mềm phân tích phần tử hữu hạn SAP2000 qua giao diện lập trình OAPI (COM). Khối lượng thực nghiệm số tương đối công phu và nghiêm túc với 60 lượt chạy độc lập (tổng thời gian tính toán FEM thực tế là 242.133,2 giây ~ 67,3 giờ).</w:t>
      </w:r>
    </w:p>
    <w:p>
      <w:pPr>
        <w:pStyle w:val="Heading3"/>
      </w:pPr>
      <w:r>
        <w:t xml:space="preserve">Điểm mạnh nổi bật của bản thảo:</w:t>
      </w:r>
    </w:p>
    <w:p>
      <w:pPr>
        <w:numPr>
          <w:ilvl w:val="0"/>
          <w:numId w:val="1002"/>
        </w:numPr>
      </w:pPr>
      <w:r>
        <w:rPr>
          <w:b/>
          <w:bCs/>
        </w:rPr>
        <w:t xml:space="preserve">Liêm chính khoa học và tư duy trung thực:</w:t>
      </w:r>
      <w:r>
        <w:t xml:space="preserve"> </w:t>
      </w:r>
      <w:r>
        <w:t xml:space="preserve">Tác giả không cố tình</w:t>
      </w:r>
      <w:r>
        <w:t xml:space="preserve"> </w:t>
      </w:r>
      <w:r>
        <w:t xml:space="preserve">“phóng đại”</w:t>
      </w:r>
      <w:r>
        <w:t xml:space="preserve"> </w:t>
      </w:r>
      <w:r>
        <w:t xml:space="preserve">năng lực của thuật toán SFOA hay tạo dữ liệu giả. Bản thảo chỉ ra rất rõ ràng và thẳng thắn các hạn chế cốt lõi của cách tiếp cận đơn mục tiêu (SOO) khi chỉ thu được các nghiệm cực trị mà không hỗ trợ trọn vẹn cho bài toán thiết kế thực tế.</w:t>
      </w:r>
    </w:p>
    <w:p>
      <w:pPr>
        <w:numPr>
          <w:ilvl w:val="0"/>
          <w:numId w:val="1002"/>
        </w:numPr>
      </w:pPr>
      <w:r>
        <w:rPr>
          <w:b/>
          <w:bCs/>
        </w:rPr>
        <w:t xml:space="preserve">Phương pháp luận chặt chẽ:</w:t>
      </w:r>
      <w:r>
        <w:t xml:space="preserve"> </w:t>
      </w:r>
      <w:r>
        <w:t xml:space="preserve">Bài toán tối ưu biến rời rạc có xét đến các ràng buộc kỹ thuật tuân thủ quy chuẩn Việt Nam và quốc tế hiện hành (TCVN 7888:2014, TCVN 10304:2014, PIANC, OCDI).</w:t>
      </w:r>
    </w:p>
    <w:p>
      <w:pPr>
        <w:numPr>
          <w:ilvl w:val="0"/>
          <w:numId w:val="1002"/>
        </w:numPr>
      </w:pPr>
      <w:r>
        <w:rPr>
          <w:b/>
          <w:bCs/>
        </w:rPr>
        <w:t xml:space="preserve">Tính ứng dụng cao:</w:t>
      </w:r>
      <w:r>
        <w:t xml:space="preserve"> </w:t>
      </w:r>
      <w:r>
        <w:t xml:space="preserve">Framework SAP2000-MATLAB-SFOA có giá trị tham khảo thực tiễn tốt cho giới nghiên cứu và kỹ sư trong ngành kỹ thuật công trình biển.</w:t>
      </w:r>
    </w:p>
    <w:p>
      <w:pPr>
        <w:pStyle w:val="Heading2"/>
      </w:pPr>
      <w:r>
        <w:t xml:space="preserve">II. Ý KIẾN PHẢN BIỆN CHUYÊN MÔN &amp; YÊU CẦU SỬA CHỮA (SPECIFIC COMMENTS)</w:t>
      </w:r>
    </w:p>
    <w:p>
      <w:pPr>
        <w:pStyle w:val="Heading3"/>
      </w:pPr>
      <w:r>
        <w:t xml:space="preserve">1. Về Liêm chính Khoa học và Chuẩn hóa Trích dẫn (Academic Integrity &amp; Citations)</w:t>
      </w:r>
    </w:p>
    <w:p>
      <w:pPr>
        <w:numPr>
          <w:ilvl w:val="0"/>
          <w:numId w:val="1003"/>
        </w:numPr>
      </w:pPr>
      <w:r>
        <w:rPr>
          <w:b/>
          <w:bCs/>
        </w:rPr>
        <w:t xml:space="preserve">Yêu cầu bắt buộc:</w:t>
      </w:r>
      <w:r>
        <w:t xml:space="preserve"> </w:t>
      </w:r>
      <w:r>
        <w:t xml:space="preserve">Tác giả cần</w:t>
      </w:r>
      <w:r>
        <w:t xml:space="preserve"> </w:t>
      </w:r>
      <w:r>
        <w:rPr>
          <w:b/>
          <w:bCs/>
        </w:rPr>
        <w:t xml:space="preserve">LOẠI BỎ hoàn toàn tài liệu tham khảo [2]</w:t>
      </w:r>
      <w:r>
        <w:t xml:space="preserve"> </w:t>
      </w:r>
      <w:r>
        <w:t xml:space="preserve">(</w:t>
      </w:r>
      <w:r>
        <w:rPr>
          <w:rStyle w:val="VerbatimChar"/>
        </w:rPr>
        <w:t xml:space="preserve">Do-Quang, T., Vu-Huu, T., Cuong-Le, T. Bản thảo đang chuẩn bị nộp / in preparation</w:t>
      </w:r>
      <w:r>
        <w:t xml:space="preserve">).</w:t>
      </w:r>
    </w:p>
    <w:p>
      <w:pPr>
        <w:numPr>
          <w:ilvl w:val="1"/>
          <w:numId w:val="1004"/>
        </w:numPr>
      </w:pPr>
      <w:r>
        <w:rPr>
          <w:i/>
          <w:iCs/>
        </w:rPr>
        <w:t xml:space="preserve">Rủi ro học thuật:</w:t>
      </w:r>
      <w:r>
        <w:t xml:space="preserve"> </w:t>
      </w:r>
      <w:r>
        <w:t xml:space="preserve">Theo chuẩn mực công bố khoa học minh bạch (tuân thủ nguyên tắc kiểm chứng trên Google Scholar), một bản thảo chưa xuất bản chính thức, chưa có DOI và chưa qua phản biện kín (peer-review) thì</w:t>
      </w:r>
      <w:r>
        <w:t xml:space="preserve"> </w:t>
      </w:r>
      <w:r>
        <w:rPr>
          <w:b/>
          <w:bCs/>
        </w:rPr>
        <w:t xml:space="preserve">chưa được coi là tri thức khoa học công khai</w:t>
      </w:r>
      <w:r>
        <w:t xml:space="preserve">. Việc trích dẫn tài liệu</w:t>
      </w:r>
      <w:r>
        <w:t xml:space="preserve"> </w:t>
      </w:r>
      <w:r>
        <w:t xml:space="preserve">“ma/ẩn”</w:t>
      </w:r>
      <w:r>
        <w:t xml:space="preserve"> </w:t>
      </w:r>
      <w:r>
        <w:t xml:space="preserve">(ghost citation) làm giảm tính độc lập của bài báo và dễ bị dính lỗi phụ thuộc dữ liệu không thể truy cập.</w:t>
      </w:r>
    </w:p>
    <w:p>
      <w:pPr>
        <w:numPr>
          <w:ilvl w:val="1"/>
          <w:numId w:val="1004"/>
        </w:numPr>
      </w:pPr>
      <w:r>
        <w:rPr>
          <w:i/>
          <w:iCs/>
        </w:rPr>
        <w:t xml:space="preserve">Hướng sửa chữa:</w:t>
      </w:r>
      <w:r>
        <w:t xml:space="preserve"> </w:t>
      </w:r>
      <w:r>
        <w:t xml:space="preserve">Tác giả hãy diễn đạt lại (rephrase) các đoạn văn tham chiếu đến [2]. Toàn bộ dữ liệu về mô hình cơ sở (Current Baseline Design) và danh mục quy cách cọc/dầm cần được trình bày tự đứng vững (self-contained) ngay trong bài báo này.</w:t>
      </w:r>
    </w:p>
    <w:p>
      <w:pPr>
        <w:pStyle w:val="Heading3"/>
      </w:pPr>
      <w:r>
        <w:t xml:space="preserve">2. Về Cơ học Kết cấu và Thảo luận Kỹ thuật (Structural Analysis &amp; Insights)</w:t>
      </w:r>
    </w:p>
    <w:p>
      <w:pPr>
        <w:numPr>
          <w:ilvl w:val="0"/>
          <w:numId w:val="1005"/>
        </w:numPr>
      </w:pPr>
      <w:r>
        <w:rPr>
          <w:b/>
          <w:bCs/>
        </w:rPr>
        <w:t xml:space="preserve">Phân tích độ nhạy kỹ thuật (Bảng 4 &amp; Bảng 5):</w:t>
      </w:r>
      <w:r>
        <w:t xml:space="preserve"> </w:t>
      </w:r>
      <w:r>
        <w:t xml:space="preserve">Kết quả thực nghiệm cho thấy phương án tối ưu chi phí (MJP-C) có chuyển vị lớn nhất</w:t>
      </w:r>
      <w:r>
        <w:t xml:space="preserve"> </w:t>
      </w:r>
      <m:oMath>
        <m:r>
          <m:t>D</m:t>
        </m:r>
        <m:r>
          <m:rPr>
            <m:sty m:val="p"/>
          </m:rPr>
          <m:t>=</m:t>
        </m:r>
        <m:r>
          <m:t>1</m:t>
        </m:r>
        <m:r>
          <m:rPr>
            <m:sty m:val="p"/>
          </m:rPr>
          <m:t>,</m:t>
        </m:r>
        <m:r>
          <m:t>02</m:t>
        </m:r>
        <m:r>
          <m:rPr>
            <m:nor/>
            <m:sty m:val="p"/>
          </m:rPr>
          <m:t> mm</m:t>
        </m:r>
      </m:oMath>
      <w:r>
        <w:t xml:space="preserve"> </w:t>
      </w:r>
      <w:r>
        <w:t xml:space="preserve">(</w:t>
      </w:r>
      <m:oMath>
        <m:r>
          <m:t>0</m:t>
        </m:r>
        <m:r>
          <m:rPr>
            <m:sty m:val="p"/>
          </m:rPr>
          <m:t>,</m:t>
        </m:r>
        <m:r>
          <m:t>00102</m:t>
        </m:r>
        <m:r>
          <m:rPr>
            <m:nor/>
            <m:sty m:val="p"/>
          </m:rPr>
          <m:t> m</m:t>
        </m:r>
      </m:oMath>
      <w:r>
        <w:t xml:space="preserve">). Dưới góc độ kỹ thuật công trình biển,</w:t>
      </w:r>
      <w:r>
        <w:t xml:space="preserve"> </w:t>
      </w:r>
      <m:oMath>
        <m:r>
          <m:t>1</m:t>
        </m:r>
        <m:r>
          <m:rPr>
            <m:sty m:val="p"/>
          </m:rPr>
          <m:t>,</m:t>
        </m:r>
        <m:r>
          <m:t>02</m:t>
        </m:r>
        <m:r>
          <m:rPr>
            <m:nor/>
            <m:sty m:val="p"/>
          </m:rPr>
          <m:t> mm</m:t>
        </m:r>
      </m:oMath>
      <w:r>
        <w:t xml:space="preserve"> </w:t>
      </w:r>
      <w:r>
        <w:t xml:space="preserve">là một giá trị rất nhỏ và hoàn toàn nằm trong giới hạn an toàn cho phép của TCVN.</w:t>
      </w:r>
    </w:p>
    <w:p>
      <w:pPr>
        <w:pStyle w:val="Compact"/>
        <w:numPr>
          <w:ilvl w:val="1"/>
          <w:numId w:val="1006"/>
        </w:numPr>
      </w:pPr>
      <w:r>
        <w:rPr>
          <w:i/>
          <w:iCs/>
        </w:rPr>
        <w:t xml:space="preserve">Gợi ý nâng cao chất lượng bài báo:</w:t>
      </w:r>
      <w:r>
        <w:t xml:space="preserve"> </w:t>
      </w:r>
      <w:r>
        <w:t xml:space="preserve">Tác giả nên bổ sung thảo luận cơ học:</w:t>
      </w:r>
      <w:r>
        <w:t xml:space="preserve"> </w:t>
      </w:r>
      <w:r>
        <w:t xml:space="preserve">“Dù chuyển vị của MJP-C tăng</w:t>
      </w:r>
      <w:r>
        <w:t xml:space="preserve"> </w:t>
      </w:r>
      <m:oMath>
        <m:r>
          <m:t>96</m:t>
        </m:r>
        <m:r>
          <m:rPr>
            <m:sty m:val="p"/>
          </m:rPr>
          <m:t>,</m:t>
        </m:r>
        <m:r>
          <m:t>2</m:t>
        </m:r>
        <m:r>
          <m:rPr>
            <m:sty m:val="p"/>
          </m:rPr>
          <m:t>%</m:t>
        </m:r>
      </m:oMath>
      <w:r>
        <w:t xml:space="preserve"> </w:t>
      </w:r>
      <w:r>
        <w:t xml:space="preserve">so với MJP-D, nhưng giá trị tuyệt đối (</w:t>
      </w:r>
      <m:oMath>
        <m:r>
          <m:t>1</m:t>
        </m:r>
        <m:r>
          <m:rPr>
            <m:sty m:val="p"/>
          </m:rPr>
          <m:t>,</m:t>
        </m:r>
        <m:r>
          <m:t>02</m:t>
        </m:r>
        <m:r>
          <m:rPr>
            <m:nor/>
            <m:sty m:val="p"/>
          </m:rPr>
          <m:t> mm</m:t>
        </m:r>
      </m:oMath>
      <w:r>
        <w:t xml:space="preserve">) vẫn đáp ứng đầy đủ yêu cầu chịu lực thực tế. Do đó, việc đầu tư thêm</w:t>
      </w:r>
      <w:r>
        <w:t xml:space="preserve"> </w:t>
      </w:r>
      <m:oMath>
        <m:r>
          <m:t>2.542</m:t>
        </m:r>
        <m:r>
          <m:rPr>
            <m:sty m:val="p"/>
          </m:rPr>
          <m:t>%</m:t>
        </m:r>
      </m:oMath>
      <w:r>
        <w:t xml:space="preserve"> </w:t>
      </w:r>
      <w:r>
        <w:t xml:space="preserve">chi phí để giảm chuyển vị xuống mức cực hạn</w:t>
      </w:r>
      <w:r>
        <w:t xml:space="preserve"> </w:t>
      </w:r>
      <m:oMath>
        <m:r>
          <m:t>0</m:t>
        </m:r>
        <m:r>
          <m:rPr>
            <m:sty m:val="p"/>
          </m:rPr>
          <m:t>,</m:t>
        </m:r>
        <m:r>
          <m:t>0388</m:t>
        </m:r>
        <m:r>
          <m:rPr>
            <m:nor/>
            <m:sty m:val="p"/>
          </m:rPr>
          <m:t> mm</m:t>
        </m:r>
      </m:oMath>
      <w:r>
        <w:t xml:space="preserve"> </w:t>
      </w:r>
      <w:r>
        <w:t xml:space="preserve">(ở MJP-D) là không cần thiết về mặt kinh tế - kỹ thuật.”</w:t>
      </w:r>
      <w:r>
        <w:t xml:space="preserve"> </w:t>
      </w:r>
      <w:r>
        <w:t xml:space="preserve">Bình luận này sẽ làm tăng tính thuyết phục cho bài báo trên Tạp chí Xây dựng.</w:t>
      </w:r>
    </w:p>
    <w:p>
      <w:pPr>
        <w:numPr>
          <w:ilvl w:val="0"/>
          <w:numId w:val="1005"/>
        </w:numPr>
      </w:pPr>
      <w:r>
        <w:rPr>
          <w:b/>
          <w:bCs/>
        </w:rPr>
        <w:t xml:space="preserve">Thời gian tính toán FEM lặp:</w:t>
      </w:r>
      <w:r>
        <w:t xml:space="preserve"> </w:t>
      </w:r>
      <w:r>
        <w:t xml:space="preserve">Quan sát tại Mục 3.4 về việc thời gian mỗi vòng lặp tăng 2–4 lần ở giai đoạn sau (khi các cá thể vượt qua hàm phạt cứng và hội tụ vào vùng khả thi) là một đóng góp thực nghiệm giá trị. Tác giả nên bổ sung 1 câu thuyết minh ngắn gọn về cơ chế giải phóng bộ nhớ OAPI/COM để tránh hiện tượng tràn bộ nhớ (memory leak) khi giải lặp SAP2000 hàng ngàn lần.</w:t>
      </w:r>
    </w:p>
    <w:p>
      <w:pPr>
        <w:pStyle w:val="Heading3"/>
      </w:pPr>
      <w:r>
        <w:t xml:space="preserve">3. Về Trình bày và Định dạng (Formatting &amp; Style)</w:t>
      </w:r>
    </w:p>
    <w:p>
      <w:pPr>
        <w:numPr>
          <w:ilvl w:val="0"/>
          <w:numId w:val="1007"/>
        </w:numPr>
      </w:pPr>
      <w:r>
        <w:rPr>
          <w:b/>
          <w:bCs/>
        </w:rPr>
        <w:t xml:space="preserve">Quy chuẩn số liệu tiếng Việt:</w:t>
      </w:r>
      <w:r>
        <w:t xml:space="preserve"> </w:t>
      </w:r>
      <w:r>
        <w:t xml:space="preserve">Cần kiểm tra đồng bộ toàn văn theo quy chuẩn trình bày của Tạp chí Xây dựng: sử dụng dấu phẩy</w:t>
      </w:r>
      <w:r>
        <w:t xml:space="preserve"> </w:t>
      </w:r>
      <w:r>
        <w:rPr>
          <w:rStyle w:val="VerbatimChar"/>
        </w:rPr>
        <w:t xml:space="preserve">,</w:t>
      </w:r>
      <w:r>
        <w:t xml:space="preserve"> </w:t>
      </w:r>
      <w:r>
        <w:t xml:space="preserve">cho phần thập phân (ví dụ:</w:t>
      </w:r>
      <w:r>
        <w:t xml:space="preserve"> </w:t>
      </w:r>
      <w:r>
        <w:rPr>
          <w:rStyle w:val="VerbatimChar"/>
        </w:rPr>
        <w:t xml:space="preserve">17,98%</w:t>
      </w:r>
      <w:r>
        <w:t xml:space="preserve">,</w:t>
      </w:r>
      <w:r>
        <w:t xml:space="preserve"> </w:t>
      </w:r>
      <w:r>
        <w:rPr>
          <w:rStyle w:val="VerbatimChar"/>
        </w:rPr>
        <w:t xml:space="preserve">1,02 mm</w:t>
      </w:r>
      <w:r>
        <w:t xml:space="preserve">) và dấu chấm</w:t>
      </w:r>
      <w:r>
        <w:t xml:space="preserve"> </w:t>
      </w:r>
      <w:r>
        <w:rPr>
          <w:rStyle w:val="VerbatimChar"/>
        </w:rPr>
        <w:t xml:space="preserve">.</w:t>
      </w:r>
      <w:r>
        <w:t xml:space="preserve"> </w:t>
      </w:r>
      <w:r>
        <w:t xml:space="preserve">cho phân cách hàng ngàn (ví dụ:</w:t>
      </w:r>
      <w:r>
        <w:t xml:space="preserve"> </w:t>
      </w:r>
      <w:r>
        <w:rPr>
          <w:rStyle w:val="VerbatimChar"/>
        </w:rPr>
        <w:t xml:space="preserve">5.291,86 USD</w:t>
      </w:r>
      <w:r>
        <w:t xml:space="preserve">).</w:t>
      </w:r>
    </w:p>
    <w:p>
      <w:pPr>
        <w:numPr>
          <w:ilvl w:val="0"/>
          <w:numId w:val="1007"/>
        </w:numPr>
      </w:pPr>
      <w:r>
        <w:rPr>
          <w:b/>
          <w:bCs/>
        </w:rPr>
        <w:t xml:space="preserve">Đồ thị minh họa:</w:t>
      </w:r>
      <w:r>
        <w:t xml:space="preserve"> </w:t>
      </w:r>
      <w:r>
        <w:t xml:space="preserve">Bổ sung chú thích rõ ràng cho điểm dữ liệu</w:t>
      </w:r>
      <w:r>
        <w:t xml:space="preserve"> </w:t>
      </w:r>
      <w:r>
        <w:rPr>
          <w:rStyle w:val="VerbatimChar"/>
        </w:rPr>
        <w:t xml:space="preserve">Current (500-B)</w:t>
      </w:r>
      <w:r>
        <w:t xml:space="preserve"> </w:t>
      </w:r>
      <w:r>
        <w:t xml:space="preserve">ở Hình 2 để người đọc dễ dàng nhận biết vị trí tương quan giữa thiết kế hiện tại và hai nghiệm cực trị.</w:t>
      </w:r>
    </w:p>
    <w:p>
      <w:pPr>
        <w:pStyle w:val="Heading2"/>
      </w:pPr>
      <w:r>
        <w:t xml:space="preserve">III. TỔNG KẾT DANH MỤC TRÍCH DẪN CHUẨN HÓA (REVISED REFERENCES)</w:t>
      </w:r>
    </w:p>
    <w:p>
      <w:pPr>
        <w:pStyle w:val="FirstParagraph"/>
      </w:pPr>
      <w:r>
        <w:t xml:space="preserve">Sau khi rút bỏ trích dẫn [2], danh mục tài liệu tham khảo được chuẩn hóa minh bạch theo chuẩn Google Scholar như sau:</w:t>
      </w:r>
    </w:p>
    <w:p>
      <w:pPr>
        <w:numPr>
          <w:ilvl w:val="0"/>
          <w:numId w:val="1008"/>
        </w:numPr>
      </w:pPr>
      <w:r>
        <w:rPr>
          <w:b/>
          <w:bCs/>
        </w:rPr>
        <w:t xml:space="preserve">Zhong, C., Li, G., Meng, Z., Li, H., Yildiz, A.R., &amp; Mirjalili, S. (2025).</w:t>
      </w:r>
      <w:r>
        <w:t xml:space="preserve"> </w:t>
      </w:r>
      <w:r>
        <w:t xml:space="preserve">Starfish optimization algorithm (SFOA): a bio-inspired metaheuristic algorithm for global optimization compared with 100 optimizers.</w:t>
      </w:r>
      <w:r>
        <w:t xml:space="preserve"> </w:t>
      </w:r>
      <w:r>
        <w:rPr>
          <w:i/>
          <w:iCs/>
        </w:rPr>
        <w:t xml:space="preserve">Neural Computing and Applications</w:t>
      </w:r>
      <w:r>
        <w:t xml:space="preserve">, 37, 3641–3683.</w:t>
      </w:r>
    </w:p>
    <w:p>
      <w:pPr>
        <w:numPr>
          <w:ilvl w:val="0"/>
          <w:numId w:val="1008"/>
        </w:numPr>
      </w:pPr>
      <w:r>
        <w:rPr>
          <w:b/>
          <w:bCs/>
        </w:rPr>
        <w:t xml:space="preserve">TCVN 7888:2014.</w:t>
      </w:r>
      <w:r>
        <w:t xml:space="preserve"> </w:t>
      </w:r>
      <w:r>
        <w:rPr>
          <w:i/>
          <w:iCs/>
        </w:rPr>
        <w:t xml:space="preserve">Cọc bê tông ly tâm ứng lực trước</w:t>
      </w:r>
      <w:r>
        <w:t xml:space="preserve">. Bộ Khoa học và Công nghệ, Việt Nam.</w:t>
      </w:r>
    </w:p>
    <w:p>
      <w:pPr>
        <w:numPr>
          <w:ilvl w:val="0"/>
          <w:numId w:val="1008"/>
        </w:numPr>
      </w:pPr>
      <w:r>
        <w:rPr>
          <w:b/>
          <w:bCs/>
        </w:rPr>
        <w:t xml:space="preserve">TCVN 10304:2014.</w:t>
      </w:r>
      <w:r>
        <w:t xml:space="preserve"> </w:t>
      </w:r>
      <w:r>
        <w:rPr>
          <w:i/>
          <w:iCs/>
        </w:rPr>
        <w:t xml:space="preserve">Móng cọc - Tiêu chuẩn thiết kế</w:t>
      </w:r>
      <w:r>
        <w:t xml:space="preserve">. Bộ Khoa học và Công nghệ, Việt Nam.</w:t>
      </w:r>
    </w:p>
    <w:p>
      <w:pPr>
        <w:numPr>
          <w:ilvl w:val="0"/>
          <w:numId w:val="1008"/>
        </w:numPr>
      </w:pPr>
      <w:r>
        <w:rPr>
          <w:b/>
          <w:bCs/>
        </w:rPr>
        <w:t xml:space="preserve">PIANC (2002).</w:t>
      </w:r>
      <w:r>
        <w:t xml:space="preserve"> </w:t>
      </w:r>
      <w:r>
        <w:rPr>
          <w:i/>
          <w:iCs/>
        </w:rPr>
        <w:t xml:space="preserve">Guidelines for the Design of Fender Systems</w:t>
      </w:r>
      <w:r>
        <w:t xml:space="preserve">. Permanent International Association of Navigation Congresses, Brussels.</w:t>
      </w:r>
    </w:p>
    <w:p>
      <w:pPr>
        <w:numPr>
          <w:ilvl w:val="0"/>
          <w:numId w:val="1008"/>
        </w:numPr>
      </w:pPr>
      <w:r>
        <w:rPr>
          <w:b/>
          <w:bCs/>
        </w:rPr>
        <w:t xml:space="preserve">OCDI (2002).</w:t>
      </w:r>
      <w:r>
        <w:t xml:space="preserve"> </w:t>
      </w:r>
      <w:r>
        <w:rPr>
          <w:i/>
          <w:iCs/>
        </w:rPr>
        <w:t xml:space="preserve">Technical Standards and Commentaries for Port and Harbour Facilities in Japan</w:t>
      </w:r>
      <w:r>
        <w:t xml:space="preserve">. The Overseas Coastal Area Development Institute of Japan, Tokyo.</w:t>
      </w:r>
    </w:p>
    <w:p>
      <w:pPr>
        <w:pStyle w:val="Heading2"/>
      </w:pPr>
      <w:r>
        <w:t xml:space="preserve">IV. NGHỊ QUYẾT CUỐI CÙNG (CONCLUSION)</w:t>
      </w:r>
    </w:p>
    <w:p>
      <w:pPr>
        <w:pStyle w:val="FirstParagraph"/>
      </w:pPr>
      <w:r>
        <w:t xml:space="preserve">Bản thảo có chất lượng chuyên môn tốt, số liệu trung thực, tư duy khoa học rõ ràng. Tác giả (đặc biệt là nghiên cứu sinh mới tiếp cận lĩnh vực SOO) đã thể hiện năng lực nghiên cứu rất nghiêm túc. Tác giả chỉ cần thực hiện các sửa chữa nhỏ nêu trên (đặc biệt là loại bỏ trích dẫn [2] và tinh chỉnh diễn đạt) là bản thảo hoàn toàn đủ điều kiện chấp nhận đăng trên</w:t>
      </w:r>
      <w:r>
        <w:t xml:space="preserve"> </w:t>
      </w:r>
      <w:r>
        <w:rPr>
          <w:b/>
          <w:bCs/>
        </w:rPr>
        <w:t xml:space="preserve">Tạp chí Xây dựng</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2026-08-21T13:36:31Z</dcterms:created>
  <dcterms:modified xsi:type="dcterms:W3CDTF">2026-08-21T13:36:31Z</dcterms:modified>
</cp:coreProperties>
</file>

<file path=docProps/custom.xml><?xml version="1.0" encoding="utf-8"?>
<Properties xmlns="http://schemas.openxmlformats.org/officeDocument/2006/custom-properties" xmlns:vt="http://schemas.openxmlformats.org/officeDocument/2006/docPropsVTypes"/>
</file>