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line="360" w:lineRule="atLeas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Multi-Objective Optimization of Pile-System Cross-Sections for a 100,000-DWT Container Wharf: A Comparison Between MOFDA and MOSFOA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Thanh Do-Quang¹,*, T. Vu-Huu¹, Thanh Cuong-Le²</w:t>
      </w:r>
    </w:p>
    <w:p>
      <w:pPr>
        <w:spacing w:after="200" w:line="220" w:lineRule="atLeast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¹ Faculty of Civil Engineering, Vietnam Maritime University, Haiphong City, Vietnam</w:t>
      </w:r>
      <w:r>
        <w:br/>
        <w:t xml:space="preserve"/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² Faculty of Civil Engineering and Electricity, Ho Chi Minh City Open University, Vietnam</w:t>
      </w:r>
      <w:r>
        <w:br/>
        <w:t xml:space="preserve"/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*Corresponding author: thanhdq.ctt@viamru.edu.vn</w:t>
      </w:r>
    </w:p>
    <w:p>
      <w:pPr>
        <w:spacing w:after="360" w:before="600" w:line="220" w:lineRule="atLeast"/>
        <w:ind w:left="567" w:right="567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Abstract.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Pile-supported container wharves carry a large mass of pile material, so a pile cross-section can be selected through constrained multi-objective optimization rather than experience alone. This study formulates a discrete multi-objective problem for the cross-sections of prestressed spun-concrete piles and steel pipe piles at an actual 100,000-DWT container wharf (4,080 combinations), subject to structural constraints, a geotechnical bearing-capacity constraint under TCVN 10304:2025, and a pile-uplift constraint. Material mass and maximum lateral displacement are evaluated through a SAP2000 model coupled with MATLAB via OAPI. Two multi-objective metaheuristics previously reported by the same group, MOFDA (flow-direction search, hybrid leader selection) and MOSFOA (starfish-inspired search, run here as the enhanced E-MOSFOA variant), are compared on the identical problem, model, objectives, constraints and evaluation budget (12,550 finite-element calls/run, 30 independent runs each), benchmarked against a reference Pareto front from an exhaustive search of all 4,080 combinations (59 non-dominated solutions). E-MOSFOA converges faster and approaches the reference front more closely under the same budget (mean normalised IGD 0.000100 versus 0.000506 for MOFDA; Wilcoxon rank-sum p = 1.07×10⁻¹⁰), reaching the stable hypervolume region after only about 1,000–1,500 evaluations against roughly 5,000–7,000 for MOFDA, and attains higher, steadier coverage of the reference front (98.76% ± 0.88% versus 89.27% ± 4.46%). These findings offer a quantitative reference for algorithm selection in similarly constrained pile-cross-section design problems for port structures.</w:t>
      </w:r>
    </w:p>
    <w:p>
      <w:pPr>
        <w:spacing w:before="220"/>
        <w:ind w:left="567" w:right="567"/>
        <w:jc w:val="left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Keywords: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multi-objective optimization; MOFDA algorithm; MOSFOA algorithm; pile cross-section design; pile-supported container wharf; SAP2000–MATLAB coupling.</w:t>
      </w:r>
    </w:p>
    <w:p>
      <w:pPr>
        <w:spacing w:after="240" w:before="360" w:line="300" w:lineRule="atLeast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Pile-supported container wharves are a common structural form for large-tonnage seaports in Vietnam, and the pile system — prestressed spun-concrete (PHC) piles combined with steel pipe piles — dominates both load-bearing function and material cost. Constrained multi-objective optimization coupled with a finite-element model lets the trade-off between material mass and displacement be explored systematically rather than only verified for a single, experience-based design.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Two metaheuristic-based multi-objective algorithms have been developed and reported by this group: MOFDA, a flow-direction algorithm with hybrid leader selection, validated on benchmark functions, constrained engineering problems and a steel-frame structure [1]; and MOSFOA, a starfish-inspired algorithm offered as B-MOSFOA and the enhanced E-MOSFOA, validated on IMOP/UF/RM-MEDA benchmarks and a separate port structure [2]. Each was verified on a different structure under non-identical conditions, so no direct comparison had existed. This paper asks: under the same MATLAB–SAP2000 evaluation system, objectives, constraints and finite-element budget, how do MOFDA and MOSFOA differ in solution quality and convergence speed on one real pile-cross-section design problem — the 100,000-DWT Lach Huyen container wharf, 4,080 design combinations, structural and geotechnical constraints (TCVN 10304:2025) and pile uplift? The contributions are: (i) a discrete optimization formulation with structural, geotechnical and uplift constraints; (ii) an exhaustive reference Pareto front independent of either algorithm's search; and (iii) a quantitative comparison of MOFDA and E-MOSFOA via IGD, hypervolume, Pareto coverage, the Wilcoxon rank-sum test and FE-based convergence curves, with conclusions drawn only from the data in Section 3.</w:t>
      </w:r>
    </w:p>
    <w:p>
      <w:pPr>
        <w:spacing w:after="240" w:before="360" w:line="300" w:lineRule="atLeast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Research Method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2.1. Structure, Finite-Element Model and Design Variables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structure is a 100,000-DWT container wharf of the Lach Huyen international gateway port, Haiphong — an onshore quay on a high-piled deck. The analysed segment is about 75 m long, deck-top at +5.50 m, dredged bed at −16.0 m, for a design vessel of 330 m length and 14.8 m draught. Each segment has 132 prestressed spun-concrete piles and 60 steel pipe piles (D1016), 192 in total; pile cross-section is the design variable, applied uniformly per pile type, with position, rake and embedment length held fixed so that geotechnical constraints stay consistent across combinations. A linear-static SAP2000 model (4,913 joints, 1,734 frame and 4,488 shell elements) provides displacements and forces under the governing envelope combination "BAO KT"; the storm combination is outside this envelope and outside the present scope (Section 3.4). The pile tips sit in a stiff clay/weathered claystone layer (concrete piles) and a strongly fractured weathered rock layer (steel piles); pile-group interaction is not considered.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[Insert Fig. 1 – SAP2000 model image here]</w:t>
      </w:r>
    </w:p>
    <w:p>
      <w:pPr>
        <w:spacing w:after="240" w:before="120" w:line="220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Fig. 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SAP2000 model of the 100,000-DWT container wharf.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Three discrete design variables are used:</w:t>
      </w:r>
    </w:p>
    <w:p>
      <w:pPr>
        <w:tabs>
          <w:tab w:val="center" w:pos="3458"/>
          <w:tab w:val="right" w:pos="6916"/>
        </w:tabs>
        <w:spacing w:after="160" w:before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Consolas" w:cs="Consolas" w:eastAsia="Consolas" w:hAnsi="Consolas"/>
          <w:sz w:val="18"/>
          <w:szCs w:val="18"/>
        </w:rPr>
        <w:t xml:space="preserve">\mathbf{x} = [\,CatIdx_{BTCT},\ D_{steel},\ t_{steel}\,]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(1)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where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CatIdx_{BTCT}\in\{1,\dots,5\}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indexes a row of the AMACCAO PHC-pile catalogue (Table 1, TCVN 7888:2014/JIS A 5373:2016 [3]);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D_{steel}\in[0.800,1.300]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m (step 0.01 m, 51 values);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t_{steel}\in[0.010,0.025]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m (step 0.001 m, 16 values) — giving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5\times51\times16=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4,080 combinations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120" w:before="240" w:line="220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AMACCAO PHC-pile catalogue used (Class A, TCVN 7888:2014)</w:t>
      </w:r>
    </w:p>
    <w:tbl>
      <w:tblPr>
        <w:tblW w:type="dxa" w:w="69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2"/>
          <w:insideV w:val="single" w:color="999999" w:sz="2"/>
        </w:tblBorders>
      </w:tblPr>
      <w:tblGrid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/>
        </w:trPr>
        <w:tc>
          <w:tcPr>
            <w:tcW w:type="dxa" w:w="98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CatIdx</w:t>
            </w:r>
          </w:p>
        </w:tc>
        <w:tc>
          <w:tcPr>
            <w:tcW w:type="dxa" w:w="98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 (m)</w:t>
            </w:r>
          </w:p>
        </w:tc>
        <w:tc>
          <w:tcPr>
            <w:tcW w:type="dxa" w:w="98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 (m)</w:t>
            </w:r>
          </w:p>
        </w:tc>
        <w:tc>
          <w:tcPr>
            <w:tcW w:type="dxa" w:w="98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 (m²)</w:t>
            </w:r>
          </w:p>
        </w:tc>
        <w:tc>
          <w:tcPr>
            <w:tcW w:type="dxa" w:w="98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Mcr (t·m)</w:t>
            </w:r>
          </w:p>
        </w:tc>
        <w:tc>
          <w:tcPr>
            <w:tcW w:type="dxa" w:w="98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Mu (t·m)</w:t>
            </w:r>
          </w:p>
        </w:tc>
        <w:tc>
          <w:tcPr>
            <w:tcW w:type="dxa" w:w="98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Pvl (t)</w:t>
            </w:r>
          </w:p>
        </w:tc>
      </w:tr>
      <w:tr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0.15708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25.51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380</w:t>
            </w:r>
          </w:p>
        </w:tc>
      </w:tr>
      <w:tr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0.110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0.20389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39.00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0.25635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55.50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680</w:t>
            </w:r>
          </w:p>
        </w:tc>
      </w:tr>
      <w:tr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0.130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0.31447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48.95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73.42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880</w:t>
            </w:r>
          </w:p>
        </w:tc>
      </w:tr>
      <w:tr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0.130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0.35531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62.22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93.32</w:t>
            </w:r>
          </w:p>
        </w:tc>
        <w:tc>
          <w:tcPr>
            <w:tcW w:type="dxa" w:w="9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1,100</w:t>
            </w:r>
          </w:p>
        </w:tc>
      </w:tr>
    </w:tbl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two objectives are the pile material mass and the maximum lateral displacement:</w:t>
      </w:r>
    </w:p>
    <w:p>
      <w:pPr>
        <w:tabs>
          <w:tab w:val="center" w:pos="3458"/>
          <w:tab w:val="right" w:pos="6916"/>
        </w:tabs>
        <w:spacing w:after="160" w:before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Consolas" w:cs="Consolas" w:eastAsia="Consolas" w:hAnsi="Consolas"/>
          <w:sz w:val="18"/>
          <w:szCs w:val="18"/>
        </w:rPr>
        <w:t xml:space="preserve">f_1 = A(D,t)_{BTCT}\,\Sigma L_{BTCT}\,\gamma_{concrete} + A(D,t)_{steel}\,\Sigma L_{steel}\,\gamma_{steel}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(2)</w:t>
      </w:r>
    </w:p>
    <w:p>
      <w:pPr>
        <w:tabs>
          <w:tab w:val="center" w:pos="3458"/>
          <w:tab w:val="right" w:pos="6916"/>
        </w:tabs>
        <w:spacing w:after="160" w:before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Consolas" w:cs="Consolas" w:eastAsia="Consolas" w:hAnsi="Consolas"/>
          <w:sz w:val="18"/>
          <w:szCs w:val="18"/>
        </w:rPr>
        <w:t xml:space="preserve">f_2 = \max\!\left(\sqrt{U_1^{2}+U_2^{2}}\right)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(3)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\gamma_{concrete}=2.5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t/m³,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\gamma_{steel}=7.85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t/m³, under the "BAO KT" envelope.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2.2. Constraints and Reference Pareto Front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Structural constraints comprise: the concrete-pile axial force–moment interaction, using catalogue values directly,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N/P_{vl}+M/M_u-1\le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(4); steel-pile stress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\sigma=N/A+M/W\le F_y/\gamma_M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F_y=3{,}150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kg/cm² [6],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\gamma_M=1.05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); and lateral displacement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U_{max}/U_{allow}-1\le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U_{allow}=71.7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mm, TCVN 11820-5:2021 [4]). The geotechnical constraint follows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TCVN 10304:2025 [5]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a friction-pile formula for the concrete pile (clay tip) and an end-bearing-on-rock formula for the steel pile (fractured-rock tip, strength-reduction factor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K_s=0.32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a conservative value adopted for lack of measured RQD), checked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\gamma_n N_d\le R_k/\gamma_k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\gamma_k=1.4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\gamma_n=1.15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consequence class C2). An uplift check (18/360 steel piles found in tension, up to ≈31 t) uses shaft friction only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\gamma_c=0.8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). All violations are combined into one penalty applied to both objectives:</w:t>
      </w:r>
    </w:p>
    <w:p>
      <w:pPr>
        <w:tabs>
          <w:tab w:val="center" w:pos="3458"/>
          <w:tab w:val="right" w:pos="6916"/>
        </w:tabs>
        <w:spacing w:after="160" w:before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Consolas" w:cs="Consolas" w:eastAsia="Consolas" w:hAnsi="Consolas"/>
          <w:sz w:val="18"/>
          <w:szCs w:val="18"/>
        </w:rPr>
        <w:t xml:space="preserve">F_k(\mathbf{x}) = f_k(\mathbf{x})\,\big[\,1+C\,P(\mathbf{x})\,\big],\quad k=1,2,\quad C=10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(5)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held fixed for both algorithms. All 4,080 combinations were evaluated by the same FE model to build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reference Pareto front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independent of either algorithm's search: 3,337/4,080 combinations proved feasible, yielding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59 non-dominated solutions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2.3. Compared Algorithms and Fair Evaluation Budget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MOFDA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[1] extends the Flow Direction Algorithm with an external Pareto archive (adaptive grid) and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hybrid leader-selection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rule scoring each archived solution as</w:t>
      </w:r>
    </w:p>
    <w:p>
      <w:pPr>
        <w:tabs>
          <w:tab w:val="center" w:pos="3458"/>
          <w:tab w:val="right" w:pos="6916"/>
        </w:tabs>
        <w:spacing w:after="160" w:before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Consolas" w:cs="Consolas" w:eastAsia="Consolas" w:hAnsi="Consolas"/>
          <w:sz w:val="18"/>
          <w:szCs w:val="18"/>
        </w:rPr>
        <w:t xml:space="preserve">s_i = GI_i + \dfrac{\varepsilon_i}{1+DE_i}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GI_i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grid index,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DE_i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local density,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\varepsilon_i\in[0,1]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random perturbation), the leader being the lowest-scoring individual — favouring sparse regions while limiting premature convergence relative to plain roulette-wheel selection.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MOSFOA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run here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E-MOSFOA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[2], extends the Starfish Optimization Algorithm [7] with a Pareto archive plus three refinements: cosine phase control,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GP=\tfrac{GP_0}{2}\big(1+\cos(\pi\, it/Max\_it)\big)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replacing a fixed exploration probability; a leader-guided DE-mutation,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mutant_i = X_{r1}+F(X_{r2}-X_{r3})+\lambda(X_{leader}-X_{r1})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F=0.5(1-it/Max\_it)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\lambda=0.3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and an archive-based Gaussian refinement active in the final 20% of iterations. Both algorithms have each been separately validated on an actual port/marine structure [1, 2].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MOFDA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N_p=50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maxiter=50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\beta=4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neighbours/individual) and E-MOSFOA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N_p=50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Max\_it=250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 use different loop structures, so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finite-element evaluations (FE)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rather than iterations are used as the common cost unit: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FE=N_p[1+maxiter(\beta+1)]=N_p(Max\_it+1)=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12,550/run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for both,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Max\_it=5\times maxiter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 Both share the same archive capacity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N_r=100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), grid resolution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nGrid=10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N=30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independent runs.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Each algorithm was run 30 times against the exhaustive reference front, compared via the two-sided Wilcoxon rank-sum test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\alpha=0.05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 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IGD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(normalised by the reference front's range),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hypervolume (HV)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(fixed reference point for both algorithms)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Pareto coverage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</w:t>
      </w:r>
    </w:p>
    <w:p>
      <w:pPr>
        <w:tabs>
          <w:tab w:val="center" w:pos="3458"/>
          <w:tab w:val="right" w:pos="6916"/>
        </w:tabs>
        <w:spacing w:after="160" w:before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Consolas" w:cs="Consolas" w:eastAsia="Consolas" w:hAnsi="Consolas"/>
          <w:sz w:val="18"/>
          <w:szCs w:val="18"/>
        </w:rPr>
        <w:t xml:space="preserve">\text{Pareto coverage (\%)} = \dfrac{\text{distinct reference solutions found}}{59}\times 100\%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using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10^{-6}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fitness-matching tolerance fixed in advance.</w:t>
      </w:r>
    </w:p>
    <w:p>
      <w:pPr>
        <w:spacing w:after="240" w:before="360" w:line="300" w:lineRule="atLeast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Experimental Results and Reviews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3.1. Reference Pareto Front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Material mass of the 59 reference solutions ranges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3,317.3–5,189.4 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displacement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9.83–16.27 mm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both well inside the TCVN 11820-5:2021 limit. Boundary clustering (Table 2) shows the Pareto solutions concentrate strongly toward the upper end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D_{steel}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(about 70% within the top 5% of its range) and, more weakly, toward the largest CatIdx_BTCT row — indicating that the search range may not fully capture the trade-off region at still-larger diameters (Section 3.4).</w:t>
      </w:r>
    </w:p>
    <w:p>
      <w:pPr>
        <w:spacing w:after="120" w:before="240" w:line="220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Boundary clustering on the 59 reference solutions</w:t>
      </w:r>
    </w:p>
    <w:tbl>
      <w:tblPr>
        <w:tblW w:type="dxa" w:w="69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2"/>
          <w:insideV w:val="single" w:color="999999" w:sz="2"/>
        </w:tblBorders>
      </w:tblPr>
      <w:tblGrid>
        <w:gridCol w:w="1383"/>
        <w:gridCol w:w="1383"/>
        <w:gridCol w:w="1383"/>
        <w:gridCol w:w="1383"/>
        <w:gridCol w:w="1383"/>
      </w:tblGrid>
      <w:tr>
        <w:trPr>
          <w:tblHeader/>
        </w:trPr>
        <w:tc>
          <w:tcPr>
            <w:tcW w:type="dxa" w:w="138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Design variable</w:t>
            </w:r>
          </w:p>
        </w:tc>
        <w:tc>
          <w:tcPr>
            <w:tcW w:type="dxa" w:w="138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Domain</w:t>
            </w:r>
          </w:p>
        </w:tc>
        <w:tc>
          <w:tcPr>
            <w:tcW w:type="dxa" w:w="138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At upper bound</w:t>
            </w:r>
          </w:p>
        </w:tc>
        <w:tc>
          <w:tcPr>
            <w:tcW w:type="dxa" w:w="138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Within 5% of upper bound</w:t>
            </w:r>
          </w:p>
        </w:tc>
        <w:tc>
          <w:tcPr>
            <w:tcW w:type="dxa" w:w="138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At/near lower bound</w:t>
            </w:r>
          </w:p>
        </w:tc>
      </w:tr>
      <w:tr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CatIdx_BTCT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[1, 5]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18/59 (30.5%)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18/59 (30.5%)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D_steel (m)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[0.800, 1.300]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17/59 (28.8%)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41/59 (69.5%)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t_steel (m)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[0.010, 0.025]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2/59 (3.4%)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2/59 (3.4%)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240"/>
        <w:jc w:val="center"/>
      </w:pPr>
      <w:r>
        <w:drawing>
          <wp:inline distT="0" distB="0" distL="0" distR="0">
            <wp:extent cx="4191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220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Fig. 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Reference Pareto front (59 solutions) over the feasible combinations explored.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3.2. Per-Algorithm Results and Direct Comparison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Over 30 independent runs each (Table 3), both algorithms fill the 100-solution archive every run, but E-MOSFOA covers the 59-solution reference front more fully and more consistently (98.76% ± 0.88% versus 89.27% ± 4.46% for MOFDA) and attains a lower IGD (0.000100 versus 0.000506).</w:t>
      </w:r>
    </w:p>
    <w:p>
      <w:pPr>
        <w:spacing w:after="120" w:before="240" w:line="220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Statistics over 30 runs; Wilcoxon rank-sum test versus MOFDA</w:t>
      </w:r>
    </w:p>
    <w:tbl>
      <w:tblPr>
        <w:tblW w:type="dxa" w:w="69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2"/>
          <w:insideV w:val="single" w:color="999999" w:sz="2"/>
        </w:tblBorders>
      </w:tblPr>
      <w:tblGrid>
        <w:gridCol w:w="1729"/>
        <w:gridCol w:w="1729"/>
        <w:gridCol w:w="1729"/>
        <w:gridCol w:w="1729"/>
      </w:tblGrid>
      <w:tr>
        <w:trPr>
          <w:tblHeader/>
        </w:trPr>
        <w:tc>
          <w:tcPr>
            <w:tcW w:type="dxa" w:w="172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Metric</w:t>
            </w:r>
          </w:p>
        </w:tc>
        <w:tc>
          <w:tcPr>
            <w:tcW w:type="dxa" w:w="172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MOFDA (mean ± SD)</w:t>
            </w:r>
          </w:p>
        </w:tc>
        <w:tc>
          <w:tcPr>
            <w:tcW w:type="dxa" w:w="172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E-MOSFOA (mean ± SD)</w:t>
            </w:r>
          </w:p>
        </w:tc>
        <w:tc>
          <w:tcPr>
            <w:tcW w:type="dxa" w:w="172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 (normalised)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0.000031 ± 0.000081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0.000000 ± 0.000000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0.0419</w:t>
            </w:r>
          </w:p>
        </w:tc>
      </w:tr>
      <w:tr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IGD (normalised)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0.000506 ± 0.000182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0.000100 ± 0.000074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1.07×10⁻¹⁰</w:t>
            </w:r>
          </w:p>
        </w:tc>
      </w:tr>
      <w:tr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HV (fixed reference point)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41,654.0150 ± 0.0064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41,654.0214 ± 0.0002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6.53×10⁻¹¹</w:t>
            </w:r>
          </w:p>
        </w:tc>
      </w:tr>
      <w:tr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Pareto coverage (/59)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52.67 ± 2.63 (89.27%)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58.27 ± 0.52 (98.76%)</w:t>
            </w:r>
          </w:p>
        </w:tc>
        <w:tc>
          <w:tcPr>
            <w:tcW w:type="dxa" w:w="17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3.14×10⁻¹¹</w:t>
            </w:r>
          </w:p>
        </w:tc>
      </w:tr>
    </w:tbl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All four differences are statistically significant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\alpha=0.05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the HV and GD gaps are numerically small since both algorithms approach the same stable region, so the comparison rests mainly 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IGD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convergence speed against FE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rather than on the final HV gap. Convergence curves (Fig. 3) show E-MOSFOA reaching the stable HV region after only ≈1,000–1,500 FE, against ≈5,000–7,000 FE for MOFDA, with its mean IGD curve lying below MOFDA's throughout the search. This is consistent with E-MOSFOA's cosine phase-control schedule, which drives exploration-to-exploitation transition explicitly from early in the search, unlike MOFDA's decaying weight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(1-iter/Max\_iter)^{2\cdot randn}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which depends heavily on a random term each iteration; the leader-guided mutation and late-stage Gaussian refinement may further help E-MOSFOA track the front once a good region is found. This is offered as a mechanism-level reading of the data, not a separate sensitivity analysis isolating each mechanism.</w:t>
      </w:r>
    </w:p>
    <w:p>
      <w:pPr>
        <w:spacing w:after="120" w:before="24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220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Fig. 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Convergence curves of IGD and HV against the number of FEM evaluations.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3.3. Scope Limitations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concentration of Pareto solutions near the upper bound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D_{steel}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means the search range may not fully capture the trade-off region at larger diameters, though the algorithm comparison itself remains valid since both are judged against the same reference front.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K_s=0.32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for the fractured-rock layer is a conservative assumption pending measured RQD data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\gamma_n=1.15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is, by contrast, confirmed). Pile-group interaction, the storm load combination, and p–y soil–pile interaction are outside the present scope, which is limited to linear-static analysis.</w:t>
      </w:r>
    </w:p>
    <w:p>
      <w:pPr>
        <w:spacing w:after="240" w:before="360" w:line="300" w:lineRule="atLeast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Conclusion and recommendations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discrete multi-objective optimization problem was formulated for the pile-system cross-sections of a 100,000-DWT container wharf (4,080 combinations; structural, TCVN 10304:2025 geotechnical, and uplift constraints), and an exhaustive reference Pareto front (59 solutions) was built as an external, algorithm-independent benchmark; this front shows boundary clustering toward larger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D_{steel}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a scope limitation for generalising absolute values. Comparing MOFDA and E-MOSFOA on the identical problem, model, objectives, constraints and FE budget (30 runs each), E-MOSFOA attains a markedly lower IGD (0.000100 versus 0.000506, p = 1.07×10⁻¹⁰), converges roughly five times faster in FE terms, and covers the reference front more fully and steadily (98.76% ± 0.88% versus 89.27% ± 4.46%). Within the scope examined, E-MOSFOA is therefore the more favourable choice on convergence speed — without implying a universal advantage on other structural problems — and these results give a quantitative reference for algorithm selection in similarly constrained port pile-design problems. Before the optimized mass/displacement values are used in a formal design, the limitations of Section 3.3 (search range at large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D_{steel}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K_s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assumption, no pile-group effect) should be reconfirmed against fuller field and design data.</w:t>
      </w:r>
    </w:p>
    <w:p>
      <w:pPr>
        <w:spacing w:after="240" w:before="360" w:line="300" w:lineRule="atLeast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Acknowledgments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This research was financially supported by Vietnam Maritime University.</w:t>
      </w:r>
    </w:p>
    <w:p>
      <w:pPr>
        <w:spacing w:after="240" w:before="360" w:line="300" w:lineRule="atLeast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Disclosure of Interests</w:t>
      </w:r>
    </w:p>
    <w:p>
      <w:pPr>
        <w:ind w:firstLine="22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authors have no competing interests to declare that are relevant to the content of this article.</w:t>
      </w:r>
    </w:p>
    <w:p>
      <w:pPr>
        <w:spacing w:after="240" w:before="360" w:line="300" w:lineRule="atLeast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line="220" w:lineRule="atLeast"/>
        <w:ind w:left="567" w:hanging="567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Vu-Huu, T., Khatir, S., Cuong-Le, T.: Real-World Steel Frame Optimization Using a Hybrid Leader Selection-Based Multi-Objective Flow Direction Algorithm. International Journal for Numerical Methods in Engineering 126(15), e70098 (2025). https://doi.org/10.1002/nme.70098</w:t>
      </w:r>
    </w:p>
    <w:p>
      <w:pPr>
        <w:spacing w:line="220" w:lineRule="atLeast"/>
        <w:ind w:left="567" w:hanging="567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Do-Quang, T., Vu-Huu, T., Le, C.T.: Multi-objective Optimization of Marine Structures Using an Enhanced Starfish Algorithm. Proceedings of the Institution of Civil Engineers – Structures and Buildings (2026). https://doi.org/10.1680/jstbu.26.00159</w:t>
      </w:r>
    </w:p>
    <w:p>
      <w:pPr>
        <w:spacing w:line="220" w:lineRule="atLeast"/>
        <w:ind w:left="567" w:hanging="567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AMACCAO PILE: Catalogue and technical specifications of AMACCAO spun concrete piles D300–D1200, following TCVN 7888:2014 and JIS A 5373:2016 (2014).</w:t>
      </w:r>
    </w:p>
    <w:p>
      <w:pPr>
        <w:spacing w:line="220" w:lineRule="atLeast"/>
        <w:ind w:left="567" w:hanging="567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Ministry of Science and Technology: TCVN 11820-5:2021 — Port and Harbour Engineering — Design Requirements — Part 5: Quay Structures (2021).</w:t>
      </w:r>
    </w:p>
    <w:p>
      <w:pPr>
        <w:spacing w:line="220" w:lineRule="atLeast"/>
        <w:ind w:left="567" w:hanging="567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Vietnam Standards and Quality Institute: TCVN 10304:2025 (2nd edition) — Pile Foundation Design (2025).</w:t>
      </w:r>
    </w:p>
    <w:p>
      <w:pPr>
        <w:spacing w:line="220" w:lineRule="atLeast"/>
        <w:ind w:left="567" w:hanging="567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Ministry of Science and Technology: TCVN 9245:2012 — Steel Pipe Piles (2012).</w:t>
      </w:r>
    </w:p>
    <w:p>
      <w:pPr>
        <w:spacing w:line="220" w:lineRule="atLeast"/>
        <w:ind w:left="567" w:hanging="567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Zhong, C., et al.: Starfish optimization algorithm (SFOA): a bio-inspired metaheuristic algorithm for global optimization compared with 100 optimizers. Neural Computing and Applications, 3641–3683 (2025).</w:t>
      </w:r>
    </w:p>
    <w:p>
      <w:pPr>
        <w:spacing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Received: xx/xx/2026</w:t>
      </w:r>
    </w:p>
    <w:p>
      <w:pPr>
        <w:spacing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Revised: xx/xx/2026</w:t>
      </w:r>
    </w:p>
    <w:p>
      <w:pPr>
        <w:spacing w:before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Accepted: xx/xx/2026</w:t>
      </w:r>
    </w:p>
    <w:sectPr>
      <w:pgSz w:w="11906" w:h="16838" w:orient="portrait"/>
      <w:pgMar w:top="2948" w:right="2495" w:bottom="2948" w:left="2495" w:header="2381" w:footer="232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2f9fc91168a3cc5fd809699a36a528831db47a.png"/><Relationship Id="rId8" Type="http://schemas.openxmlformats.org/officeDocument/2006/relationships/image" Target="media/a3c29b055c0898259581345e8c2a303699c95e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2026-09-12T03:00:45.965Z</dcterms:created>
  <dcterms:modified xsi:type="dcterms:W3CDTF">2026-09-12T03:00:45.966Z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