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771650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Ten Commandments </w:t>
        <w:br w:type="textWrapping"/>
        <w:t xml:space="preserve">of Computer Ethics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by the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Computer Ethics Institute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use a computer to harm other people.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interfere with other people's computer work.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snoop around in other people's computer files.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use a computer to steal.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use a computer to bear false witness.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copy or use proprietary software for which you have not paid.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use other people's computer resources without authorization or proper compensation.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not appropriate other people's intellectual output.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think about the social consequences of the program you are writing or the system you are designing.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Thou shalt always use a computer in ways that insure consideration and respect for your fellow humans.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Ethics Institute</w:t>
        <w:br w:type="textWrapping"/>
        <w:t xml:space="preserve">A project of the Brookings Institution</w:t>
        <w:br w:type="textWrapping"/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http://www.brook.edu/its/cei/cei_hp.htm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t xml:space="preserve">Contact: Ramon Barquin</w:t>
        <w:br w:type="textWrapping"/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rbarquin@aol.com</w:t>
        </w:r>
      </w:hyperlink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vertAlign w:val="baseline"/>
        </w:rPr>
        <w:sectPr>
          <w:pgSz w:h="16838" w:w="11906"/>
          <w:pgMar w:bottom="1440" w:top="1440" w:left="1800" w:right="180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440" w:top="1440" w:left="1800" w:right="180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brook.edu/its/cei/cei_hp.htm" TargetMode="External"/><Relationship Id="rId8" Type="http://schemas.openxmlformats.org/officeDocument/2006/relationships/hyperlink" Target="mailto:rbarquin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