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before="240" after="120"/>
        <w:keepNext/>
      </w:pPr>
      <w:r>
        <w:rPr>
          <w:rFonts w:ascii="Calibri" w:hAnsi="Calibri"/>
          <w:b/>
          <w:sz w:val="32"/>
          <w:color w:val="2B579A"/>
        </w:rPr>
        <w:t>BÁO CÁO TỔNG HỢP NGHIỆP VỤ &amp; CHI PHÍ VẬN HÀNH HỆ THỐNG SV-DRL</w:t>
      </w:r>
    </w:p>
    <w:p>
      <w:pPr>
        <w:spacing w:after="120" w:line="240" w:lineRule="auto"/>
      </w:pPr>
      <w:r>
        <w:rPr>
          <w:rFonts w:ascii="Calibri" w:hAnsi="Calibri"/>
          <w:sz w:val="24"/>
        </w:rPr>
        <w:t>Tài liệu này tổng hợp toàn bộ các phân tích nghiệp vụ, quy trình đánh giá điểm rèn luyện, các quy tắc tính toán điểm học tập/điểm danh đặc thù và dự toán chi phí vận hành hạ tầng đám mây cho hệ thống SV-DRL.</w:t>
      </w:r>
    </w:p>
    <w:p>
      <w:pPr>
        <w:pStyle w:val="Heading2"/>
        <w:spacing before="180" after="60"/>
        <w:keepNext/>
      </w:pPr>
      <w:r>
        <w:rPr>
          <w:rFonts w:ascii="Calibri" w:hAnsi="Calibri"/>
          <w:b/>
          <w:sz w:val="26"/>
          <w:color w:val="2B579A"/>
        </w:rPr>
        <w:t>1. Quy Trình Nghiệp Vụ Đánh Giá Điểm Rèn Luyện</w:t>
      </w:r>
    </w:p>
    <w:p>
      <w:pPr>
        <w:spacing w:after="120" w:line="240" w:lineRule="auto"/>
      </w:pPr>
      <w:r>
        <w:rPr>
          <w:rFonts w:ascii="Calibri" w:hAnsi="Calibri"/>
          <w:sz w:val="24"/>
        </w:rPr>
        <w:t>Quy trình đánh giá điểm rèn luyện của sinh viên được thực hiện khép kín qua các bước chính sau:</w:t>
      </w:r>
    </w:p>
    <w:p>
      <w:pPr>
        <w:pStyle w:val="ListParagraph"/>
        <w:numPr>
          <w:ilvl w:val="0"/>
          <w:numId w:val="1"/>
        </w:numPr>
        <w:spacing w:after="60"/>
      </w:pPr>
      <w:r>
        <w:rPr>
          <w:rFonts w:ascii="Calibri" w:hAnsi="Calibri"/>
          <w:sz w:val="24"/>
        </w:rPr>
        <w:t>Bước 1: Phòng CTSV/Khoa tạo đợt đánh giá mới và kích hoạt học kỳ tương ứng.</w:t>
      </w:r>
    </w:p>
    <w:p>
      <w:pPr>
        <w:pStyle w:val="ListParagraph"/>
        <w:numPr>
          <w:ilvl w:val="0"/>
          <w:numId w:val="1"/>
        </w:numPr>
        <w:spacing w:after="60"/>
      </w:pPr>
      <w:r>
        <w:rPr>
          <w:rFonts w:ascii="Calibri" w:hAnsi="Calibri"/>
          <w:sz w:val="24"/>
        </w:rPr>
        <w:t>Bước 2: Sinh viên tiến hành tự đánh giá cá nhân theo các tiêu chí (Từ Mục I đến Mục VI) và tải lên các minh chứng hình ảnh/file đính kèm.</w:t>
      </w:r>
    </w:p>
    <w:p>
      <w:pPr>
        <w:pStyle w:val="ListParagraph"/>
        <w:numPr>
          <w:ilvl w:val="0"/>
          <w:numId w:val="1"/>
        </w:numPr>
        <w:spacing w:after="60"/>
      </w:pPr>
      <w:r>
        <w:rPr>
          <w:rFonts w:ascii="Calibri" w:hAnsi="Calibri"/>
          <w:sz w:val="24"/>
        </w:rPr>
        <w:t>Bước 3: Ban cán sự lớp (BCS) xem qua tiến độ, kiểm tra sơ bộ và duyệt nhanh (Bulk Approve) chuyển tiếp hồ sơ của cả lớp lên cho Cố vấn.</w:t>
      </w:r>
    </w:p>
    <w:p>
      <w:pPr>
        <w:pStyle w:val="ListParagraph"/>
        <w:numPr>
          <w:ilvl w:val="0"/>
          <w:numId w:val="1"/>
        </w:numPr>
        <w:spacing w:after="60"/>
      </w:pPr>
      <w:r>
        <w:rPr>
          <w:rFonts w:ascii="Calibri" w:hAnsi="Calibri"/>
          <w:sz w:val="24"/>
        </w:rPr>
        <w:t>Bước 4: Cố vấn Học tập (CVHT) kiểm tra chi tiết các minh chứng, duyệt/từ chối minh chứng, điều chỉnh điểm rèn luyện và gửi phản hồi nhận xét.</w:t>
      </w:r>
    </w:p>
    <w:p>
      <w:pPr>
        <w:pStyle w:val="ListParagraph"/>
        <w:numPr>
          <w:ilvl w:val="0"/>
          <w:numId w:val="1"/>
        </w:numPr>
        <w:spacing w:after="60"/>
      </w:pPr>
      <w:r>
        <w:rPr>
          <w:rFonts w:ascii="Calibri" w:hAnsi="Calibri"/>
          <w:sz w:val="24"/>
        </w:rPr>
        <w:t>Bước 5: Khoa và phòng CTSV tiến hành hậu kiểm chéo, kết xuất dữ liệu thống kê báo cáo và khóa/chốt sổ điểm rèn luyện của học kỳ.</w:t>
      </w:r>
    </w:p>
    <w:p>
      <w:pPr>
        <w:pStyle w:val="Heading2"/>
        <w:spacing before="180" after="60"/>
        <w:keepNext/>
      </w:pPr>
      <w:r>
        <w:rPr>
          <w:rFonts w:ascii="Calibri" w:hAnsi="Calibri"/>
          <w:b/>
          <w:sz w:val="26"/>
          <w:color w:val="2B579A"/>
        </w:rPr>
        <w:t>2. Phân Quyền &amp; Chức Năng Chi Tiết Từng Vai Trò (Roles)</w:t>
      </w:r>
    </w:p>
    <w:p>
      <w:pPr>
        <w:pStyle w:val="Heading3"/>
        <w:spacing before="180" after="60"/>
        <w:keepNext/>
      </w:pPr>
      <w:r>
        <w:rPr>
          <w:rFonts w:ascii="Calibri" w:hAnsi="Calibri"/>
          <w:b/>
          <w:sz w:val="22"/>
          <w:color w:val="2B579A"/>
        </w:rPr>
        <w:t>2.1. Sinh Viên (Student)</w:t>
      </w:r>
    </w:p>
    <w:p>
      <w:pPr>
        <w:pStyle w:val="ListParagraph"/>
        <w:numPr>
          <w:ilvl w:val="0"/>
          <w:numId w:val="1"/>
        </w:numPr>
        <w:spacing w:after="60"/>
      </w:pPr>
      <w:r>
        <w:rPr>
          <w:rFonts w:ascii="Calibri" w:hAnsi="Calibri"/>
          <w:sz w:val="24"/>
        </w:rPr>
        <w:t>Tự chấm điểm rèn luyện cá nhân: Thực hiện tự đánh giá và chấm điểm theo bộ tiêu chí được cấu hình bởi nhà trường cho từng học kỳ.</w:t>
      </w:r>
    </w:p>
    <w:p>
      <w:pPr>
        <w:pStyle w:val="ListParagraph"/>
        <w:numPr>
          <w:ilvl w:val="0"/>
          <w:numId w:val="1"/>
        </w:numPr>
        <w:spacing w:after="60"/>
      </w:pPr>
      <w:r>
        <w:rPr>
          <w:rFonts w:ascii="Calibri" w:hAnsi="Calibri"/>
          <w:sz w:val="24"/>
        </w:rPr>
        <w:t>Quản lý và nộp minh chứng trực tuyến: Tải lên hình ảnh/tập tin minh chứng (chứng chỉ, giấy khen, ảnh chụp hoạt động) làm căn cứ đối chiếu.</w:t>
      </w:r>
    </w:p>
    <w:p>
      <w:pPr>
        <w:pStyle w:val="ListParagraph"/>
        <w:numPr>
          <w:ilvl w:val="0"/>
          <w:numId w:val="1"/>
        </w:numPr>
        <w:spacing w:after="60"/>
      </w:pPr>
      <w:r>
        <w:rPr>
          <w:rFonts w:ascii="Calibri" w:hAnsi="Calibri"/>
          <w:sz w:val="24"/>
        </w:rPr>
        <w:t>Tham gia hoạt động rèn luyện: Đăng ký tham gia các hoạt động/sự kiện do nhà trường hoặc các đơn vị tổ chức.</w:t>
      </w:r>
    </w:p>
    <w:p>
      <w:pPr>
        <w:pStyle w:val="ListParagraph"/>
        <w:numPr>
          <w:ilvl w:val="0"/>
          <w:numId w:val="1"/>
        </w:numPr>
        <w:spacing w:after="60"/>
      </w:pPr>
      <w:r>
        <w:rPr>
          <w:rFonts w:ascii="Calibri" w:hAnsi="Calibri"/>
          <w:sz w:val="24"/>
        </w:rPr>
        <w:t>Điểm danh bằng mã QR thời gian thực: Quét mã QR điểm danh cố định tại buổi sinh hoạt/sự kiện. Hệ thống sẽ tự động cập nhật trạng thái điểm danh sang co_mat trên màn hình chi tiết hoạt động ngay lập tức mà không cần tải lại trang (Không cần F5).</w:t>
      </w:r>
    </w:p>
    <w:p>
      <w:pPr>
        <w:pStyle w:val="ListParagraph"/>
        <w:numPr>
          <w:ilvl w:val="0"/>
          <w:numId w:val="1"/>
        </w:numPr>
        <w:spacing w:after="60"/>
      </w:pPr>
      <w:r>
        <w:rPr>
          <w:rFonts w:ascii="Calibri" w:hAnsi="Calibri"/>
          <w:sz w:val="24"/>
        </w:rPr>
        <w:t>Theo dõi trạng thái duyệt: Xem tiến trình phê duyệt hồ sơ minh chứng của mình (Chờ duyệt, Đã duyệt, Từ chối).</w:t>
      </w:r>
    </w:p>
    <w:p>
      <w:pPr>
        <w:pStyle w:val="ListParagraph"/>
        <w:numPr>
          <w:ilvl w:val="0"/>
          <w:numId w:val="1"/>
        </w:numPr>
        <w:spacing w:after="60"/>
      </w:pPr>
      <w:r>
        <w:rPr>
          <w:rFonts w:ascii="Calibri" w:hAnsi="Calibri"/>
          <w:sz w:val="24"/>
        </w:rPr>
        <w:t>Gửi khiếu nại: Tạo phiếu khiếu nại phản hồi trực tiếp khi có sự sai lệch về điểm rèn luyện hoặc minh chứng bị từ chối.</w:t>
      </w:r>
    </w:p>
    <w:p>
      <w:pPr>
        <w:pStyle w:val="Heading3"/>
        <w:spacing before="180" after="60"/>
        <w:keepNext/>
      </w:pPr>
      <w:r>
        <w:rPr>
          <w:rFonts w:ascii="Calibri" w:hAnsi="Calibri"/>
          <w:b/>
          <w:sz w:val="22"/>
          <w:color w:val="2B579A"/>
        </w:rPr>
        <w:t>2.2. Ban Cán Sự Lớp (Class Monitor - BCS)</w:t>
      </w:r>
    </w:p>
    <w:p>
      <w:pPr>
        <w:pStyle w:val="ListParagraph"/>
        <w:numPr>
          <w:ilvl w:val="0"/>
          <w:numId w:val="1"/>
        </w:numPr>
        <w:spacing w:after="60"/>
      </w:pPr>
      <w:r>
        <w:rPr>
          <w:rFonts w:ascii="Calibri" w:hAnsi="Calibri"/>
          <w:sz w:val="24"/>
        </w:rPr>
        <w:t>Thừa hưởng quyền hạn Sinh viên: Có đầy đủ các chức năng tự đánh giá, nộp minh chứng, đăng ký hoạt động và điểm danh QR của sinh viên.</w:t>
      </w:r>
    </w:p>
    <w:p>
      <w:pPr>
        <w:pStyle w:val="ListParagraph"/>
        <w:numPr>
          <w:ilvl w:val="0"/>
          <w:numId w:val="1"/>
        </w:numPr>
        <w:spacing w:after="60"/>
      </w:pPr>
      <w:r>
        <w:rPr>
          <w:rFonts w:ascii="Calibri" w:hAnsi="Calibri"/>
          <w:sz w:val="24"/>
        </w:rPr>
        <w:t>Theo dõi tiến độ của lớp: Xem danh sách thành viên lớp, kiểm tra tiến độ nộp phiếu điểm rèn luyện của từng sinh viên.</w:t>
      </w:r>
    </w:p>
    <w:p>
      <w:pPr>
        <w:pStyle w:val="ListParagraph"/>
        <w:numPr>
          <w:ilvl w:val="0"/>
          <w:numId w:val="1"/>
        </w:numPr>
        <w:spacing w:after="60"/>
      </w:pPr>
      <w:r>
        <w:rPr>
          <w:rFonts w:ascii="Calibri" w:hAnsi="Calibri"/>
          <w:sz w:val="24"/>
        </w:rPr>
        <w:t>Phê duyệt hàng loạt (Bulk Approve): Thực hiện duyệt nhanh phiếu điểm của các thành viên trong lớp từ trạng thái Tạm tính (tam_tinh) chuyển lên Chờ Cố vấn duyệt (cho_cvht_duyet).</w:t>
      </w:r>
    </w:p>
    <w:p>
      <w:pPr>
        <w:pStyle w:val="Heading3"/>
        <w:spacing before="180" after="60"/>
        <w:keepNext/>
      </w:pPr>
      <w:r>
        <w:rPr>
          <w:rFonts w:ascii="Calibri" w:hAnsi="Calibri"/>
          <w:b/>
          <w:sz w:val="22"/>
          <w:color w:val="2B579A"/>
        </w:rPr>
        <w:t>2.3. Giảng Viên / Cố Vấn Học Tập (Advisor - CVHT)</w:t>
      </w:r>
    </w:p>
    <w:p>
      <w:pPr>
        <w:pStyle w:val="ListParagraph"/>
        <w:numPr>
          <w:ilvl w:val="0"/>
          <w:numId w:val="1"/>
        </w:numPr>
        <w:spacing w:after="60"/>
      </w:pPr>
      <w:r>
        <w:rPr>
          <w:rFonts w:ascii="Calibri" w:hAnsi="Calibri"/>
          <w:sz w:val="24"/>
        </w:rPr>
        <w:t>Quản lý danh sách lớp: Xem chi tiết thông tin và kết quả điểm rèn luyện của sinh viên thuộc các lớp được phân công chủ nhiệm.</w:t>
      </w:r>
    </w:p>
    <w:p>
      <w:pPr>
        <w:pStyle w:val="ListParagraph"/>
        <w:numPr>
          <w:ilvl w:val="0"/>
          <w:numId w:val="1"/>
        </w:numPr>
        <w:spacing w:after="60"/>
      </w:pPr>
      <w:r>
        <w:rPr>
          <w:rFonts w:ascii="Calibri" w:hAnsi="Calibri"/>
          <w:sz w:val="24"/>
        </w:rPr>
        <w:t>Duyệt hồ sơ minh chứng: Kiểm tra tính hợp lệ của từng hình ảnh/tập tin minh chứng sinh viên nộp lên; phê duyệt hoặc từ chối minh chứng.</w:t>
      </w:r>
    </w:p>
    <w:p>
      <w:pPr>
        <w:pStyle w:val="ListParagraph"/>
        <w:numPr>
          <w:ilvl w:val="0"/>
          <w:numId w:val="1"/>
        </w:numPr>
        <w:spacing w:after="60"/>
      </w:pPr>
      <w:r>
        <w:rPr>
          <w:rFonts w:ascii="Calibri" w:hAnsi="Calibri"/>
          <w:sz w:val="24"/>
        </w:rPr>
        <w:t>Điều chỉnh điểm &amp; Phản hồi: Chỉnh sửa điểm số thực tế của sinh viên dựa trên minh chứng và thái độ học tập, đồng thời gửi kèm ý kiến phản hồi/lý do điều chỉnh cụ thể.</w:t>
      </w:r>
    </w:p>
    <w:p>
      <w:pPr>
        <w:pStyle w:val="ListParagraph"/>
        <w:numPr>
          <w:ilvl w:val="0"/>
          <w:numId w:val="1"/>
        </w:numPr>
        <w:spacing w:after="60"/>
      </w:pPr>
      <w:r>
        <w:rPr>
          <w:rFonts w:ascii="Calibri" w:hAnsi="Calibri"/>
          <w:sz w:val="24"/>
        </w:rPr>
        <w:t>Chốt bảng điểm của lớp: Duyệt tổng thể phiếu điểm của cả lớp và chốt kết quả chuyển lên cấp Khoa/CTSV (cho_ctsv_duyet).</w:t>
      </w:r>
    </w:p>
    <w:p>
      <w:pPr>
        <w:pStyle w:val="Heading3"/>
        <w:spacing before="180" after="60"/>
        <w:keepNext/>
      </w:pPr>
      <w:r>
        <w:rPr>
          <w:rFonts w:ascii="Calibri" w:hAnsi="Calibri"/>
          <w:b/>
          <w:sz w:val="22"/>
          <w:color w:val="2B579A"/>
        </w:rPr>
        <w:t>2.4. Khoa / Phòng Công Tác Sinh Viên (CTSV)</w:t>
      </w:r>
    </w:p>
    <w:p>
      <w:pPr>
        <w:pStyle w:val="ListParagraph"/>
        <w:numPr>
          <w:ilvl w:val="0"/>
          <w:numId w:val="1"/>
        </w:numPr>
        <w:spacing w:after="60"/>
      </w:pPr>
      <w:r>
        <w:rPr>
          <w:rFonts w:ascii="Calibri" w:hAnsi="Calibri"/>
          <w:sz w:val="24"/>
        </w:rPr>
        <w:t>Quản lý đợt đánh giá: Tạo mới các đợt đánh giá (theo Học kỳ), cấu hình mốc thời gian bắt đầu và kết thúc của đợt chấm điểm.</w:t>
      </w:r>
    </w:p>
    <w:p>
      <w:pPr>
        <w:pStyle w:val="ListParagraph"/>
        <w:numPr>
          <w:ilvl w:val="0"/>
          <w:numId w:val="1"/>
        </w:numPr>
        <w:spacing w:after="60"/>
      </w:pPr>
      <w:r>
        <w:rPr>
          <w:rFonts w:ascii="Calibri" w:hAnsi="Calibri"/>
          <w:sz w:val="24"/>
        </w:rPr>
        <w:t>Duyệt hồ sơ tổng thể: Kiểm tra chéo kết quả điểm rèn luyện và duyệt hồ sơ cấp khoa/toàn trường.</w:t>
      </w:r>
    </w:p>
    <w:p>
      <w:pPr>
        <w:pStyle w:val="ListParagraph"/>
        <w:numPr>
          <w:ilvl w:val="0"/>
          <w:numId w:val="1"/>
        </w:numPr>
        <w:spacing w:after="60"/>
      </w:pPr>
      <w:r>
        <w:rPr>
          <w:rFonts w:ascii="Calibri" w:hAnsi="Calibri"/>
          <w:sz w:val="24"/>
        </w:rPr>
        <w:t>Quản lý hoạt động rèn luyện &amp; Điểm danh QR: Tạo mới các hoạt động rèn luyện cấp trường/khoa, cấu hình điểm dự kiến và số lượng tham gia tối đa. Tự động sinh mã QR điểm danh cố định cho hoạt động. Mã QR này tự động bị làm mờ (CSS blur) để khóa quét trước sự kiện và tự động mở khóa rõ nét để quét điểm danh khi sự kiện diễn ra.</w:t>
      </w:r>
    </w:p>
    <w:p>
      <w:pPr>
        <w:pStyle w:val="ListParagraph"/>
        <w:numPr>
          <w:ilvl w:val="0"/>
          <w:numId w:val="1"/>
        </w:numPr>
        <w:spacing w:after="60"/>
      </w:pPr>
      <w:r>
        <w:rPr>
          <w:rFonts w:ascii="Calibri" w:hAnsi="Calibri"/>
          <w:sz w:val="24"/>
        </w:rPr>
        <w:t>Thống kê &amp; Xuất báo cáo: Xem dashboard thống kê trực quan theo lớp, ngành, khoa và học kỳ. Xuất báo cáo kết quả điểm rèn luyện ra file Excel/PDF theo mẫu của nhà trường.</w:t>
      </w:r>
    </w:p>
    <w:p>
      <w:pPr>
        <w:pStyle w:val="ListParagraph"/>
        <w:numPr>
          <w:ilvl w:val="0"/>
          <w:numId w:val="1"/>
        </w:numPr>
        <w:spacing w:after="60"/>
      </w:pPr>
      <w:r>
        <w:rPr>
          <w:rFonts w:ascii="Calibri" w:hAnsi="Calibri"/>
          <w:sz w:val="24"/>
        </w:rPr>
        <w:t>Chốt sổ và khóa điểm: Thực hiện chốt kết quả cuối cùng và khóa điểm rèn luyện học kỳ của toàn bộ sinh viên.</w:t>
      </w:r>
    </w:p>
    <w:p>
      <w:pPr>
        <w:pStyle w:val="Heading3"/>
        <w:spacing before="180" after="60"/>
        <w:keepNext/>
      </w:pPr>
      <w:r>
        <w:rPr>
          <w:rFonts w:ascii="Calibri" w:hAnsi="Calibri"/>
          <w:b/>
          <w:sz w:val="22"/>
          <w:color w:val="2B579A"/>
        </w:rPr>
        <w:t>2.5. Admin (Quản Trị Hệ Thống)</w:t>
      </w:r>
    </w:p>
    <w:p>
      <w:pPr>
        <w:pStyle w:val="ListParagraph"/>
        <w:numPr>
          <w:ilvl w:val="0"/>
          <w:numId w:val="1"/>
        </w:numPr>
        <w:spacing w:after="60"/>
      </w:pPr>
      <w:r>
        <w:rPr>
          <w:rFonts w:ascii="Calibri" w:hAnsi="Calibri"/>
          <w:sz w:val="24"/>
        </w:rPr>
        <w:t>Quản lý người dùng: Tạo mới, chỉnh sửa thông tin và phân quyền tài khoản (Sinh viên, Giảng viên, CTSV, Admin).</w:t>
      </w:r>
    </w:p>
    <w:p>
      <w:pPr>
        <w:pStyle w:val="ListParagraph"/>
        <w:numPr>
          <w:ilvl w:val="0"/>
          <w:numId w:val="1"/>
        </w:numPr>
        <w:spacing w:after="60"/>
      </w:pPr>
      <w:r>
        <w:rPr>
          <w:rFonts w:ascii="Calibri" w:hAnsi="Calibri"/>
          <w:sz w:val="24"/>
        </w:rPr>
        <w:t>Quản lý danh mục nền tảng: Cập nhật danh sách Khoa, Ngành, Lớp học, Hệ đào tạo, Học kỳ.</w:t>
      </w:r>
    </w:p>
    <w:p>
      <w:pPr>
        <w:pStyle w:val="ListParagraph"/>
        <w:numPr>
          <w:ilvl w:val="0"/>
          <w:numId w:val="1"/>
        </w:numPr>
        <w:spacing w:after="60"/>
      </w:pPr>
      <w:r>
        <w:rPr>
          <w:rFonts w:ascii="Calibri" w:hAnsi="Calibri"/>
          <w:sz w:val="24"/>
        </w:rPr>
        <w:t>Cấu hình bộ tiêu chí đánh giá: Quản lý các tiêu chí rèn luyện chính, các tiêu chí thành phần con và điểm giới hạn tối đa cho từng tiêu chí.</w:t>
      </w:r>
    </w:p>
    <w:p>
      <w:pPr>
        <w:pStyle w:val="Heading2"/>
        <w:spacing before="180" after="60"/>
        <w:keepNext/>
      </w:pPr>
      <w:r>
        <w:rPr>
          <w:rFonts w:ascii="Calibri" w:hAnsi="Calibri"/>
          <w:b/>
          <w:sz w:val="26"/>
          <w:color w:val="2B579A"/>
        </w:rPr>
        <w:t>3. Các Quy Tắc Nghiệp Vụ &amp; Thuật Toán Đặc Thù</w:t>
      </w:r>
    </w:p>
    <w:p>
      <w:pPr>
        <w:pStyle w:val="Heading3"/>
        <w:spacing before="180" after="60"/>
        <w:keepNext/>
      </w:pPr>
      <w:r>
        <w:rPr>
          <w:rFonts w:ascii="Calibri" w:hAnsi="Calibri"/>
          <w:b/>
          <w:sz w:val="22"/>
          <w:color w:val="2B579A"/>
        </w:rPr>
        <w:t>3.1. Quy tắc trừ điểm do vắng học (Vắng tiết lý thuyết/thực hành)</w:t>
      </w:r>
    </w:p>
    <w:p>
      <w:pPr>
        <w:spacing w:after="120" w:line="240" w:lineRule="auto"/>
      </w:pPr>
      <w:r>
        <w:rPr>
          <w:rFonts w:ascii="Calibri" w:hAnsi="Calibri"/>
          <w:sz w:val="24"/>
        </w:rPr>
        <w:t>Dựa trên thống kê số tiết vắng học từ hệ thống điểm danh của phòng Đào tạo:</w:t>
      </w:r>
    </w:p>
    <w:p>
      <w:pPr>
        <w:pStyle w:val="ListParagraph"/>
        <w:numPr>
          <w:ilvl w:val="0"/>
          <w:numId w:val="1"/>
        </w:numPr>
        <w:spacing w:after="60"/>
      </w:pPr>
      <w:r>
        <w:rPr>
          <w:rFonts w:ascii="Calibri" w:hAnsi="Calibri"/>
          <w:sz w:val="24"/>
        </w:rPr>
        <w:t>Nếu tổng số tiết vắng của sinh viên trong học kỳ dưới 5 tiết (&lt; 5 tiết): trừ 2 điểm.</w:t>
      </w:r>
    </w:p>
    <w:p>
      <w:pPr>
        <w:pStyle w:val="ListParagraph"/>
        <w:numPr>
          <w:ilvl w:val="0"/>
          <w:numId w:val="1"/>
        </w:numPr>
        <w:spacing w:after="60"/>
      </w:pPr>
      <w:r>
        <w:rPr>
          <w:rFonts w:ascii="Calibri" w:hAnsi="Calibri"/>
          <w:sz w:val="24"/>
        </w:rPr>
        <w:t>Nếu tổng số tiết vắng của sinh viên trong học kỳ trên 10 tiết (&gt; 10 tiết): trừ 5 điểm.</w:t>
      </w:r>
    </w:p>
    <w:p>
      <w:pPr>
        <w:spacing w:after="120" w:line="240" w:lineRule="auto"/>
      </w:pPr>
      <w:r>
        <w:rPr>
          <w:rFonts w:ascii="Calibri" w:hAnsi="Calibri"/>
          <w:sz w:val="24"/>
        </w:rPr>
        <w:t>Lưu ý: Quy tắc trừ điểm này được tính dựa trên tổng số tiết vắng học tập trung của toàn bộ các học phần đăng ký, không phụ thuộc vào số lượng môn học bị vắng.</w:t>
      </w:r>
    </w:p>
    <w:p>
      <w:pPr>
        <w:pStyle w:val="Heading3"/>
        <w:spacing before="180" after="60"/>
        <w:keepNext/>
      </w:pPr>
      <w:r>
        <w:rPr>
          <w:rFonts w:ascii="Calibri" w:hAnsi="Calibri"/>
          <w:b/>
          <w:sz w:val="22"/>
          <w:color w:val="2B579A"/>
        </w:rPr>
        <w:t>3.2. Quy tắc đối với sinh viên học vượt / học lại &amp; Điểm GPA</w:t>
      </w:r>
    </w:p>
    <w:p>
      <w:pPr>
        <w:spacing w:after="120" w:line="240" w:lineRule="auto"/>
      </w:pPr>
      <w:r>
        <w:rPr>
          <w:rFonts w:ascii="Calibri" w:hAnsi="Calibri"/>
          <w:sz w:val="24"/>
        </w:rPr>
        <w:t>Để đảm bảo quyền lợi và sự linh hoạt cho lộ trình cá nhân của sinh viên:</w:t>
      </w:r>
    </w:p>
    <w:p>
      <w:pPr>
        <w:pStyle w:val="ListParagraph"/>
        <w:numPr>
          <w:ilvl w:val="0"/>
          <w:numId w:val="1"/>
        </w:numPr>
        <w:spacing w:after="60"/>
      </w:pPr>
      <w:r>
        <w:rPr>
          <w:rFonts w:ascii="Calibri" w:hAnsi="Calibri"/>
          <w:sz w:val="24"/>
        </w:rPr>
        <w:t>Với sinh viên học vượt lớp hoặc đăng ký học lại/học cải thiện, hệ thống tự động sinh thêm cột hiển thị kết quả tương thích trong bảng điểm học tập so với chương trình đào tạo chuẩn.</w:t>
      </w:r>
    </w:p>
    <w:p>
      <w:pPr>
        <w:pStyle w:val="ListParagraph"/>
        <w:numPr>
          <w:ilvl w:val="0"/>
          <w:numId w:val="1"/>
        </w:numPr>
        <w:spacing w:after="60"/>
      </w:pPr>
      <w:r>
        <w:rPr>
          <w:rFonts w:ascii="Calibri" w:hAnsi="Calibri"/>
          <w:sz w:val="24"/>
        </w:rPr>
        <w:t>Điểm trung bình học tập học kỳ (GPA) vẫn được tính toán bình thường theo tổng số tín chỉ tích lũy thực tế mà sinh viên đăng ký học trong học kỳ đó.</w:t>
      </w:r>
    </w:p>
    <w:p>
      <w:pPr>
        <w:pStyle w:val="ListParagraph"/>
        <w:numPr>
          <w:ilvl w:val="0"/>
          <w:numId w:val="1"/>
        </w:numPr>
        <w:spacing w:after="60"/>
      </w:pPr>
      <w:r>
        <w:rPr>
          <w:rFonts w:ascii="Calibri" w:hAnsi="Calibri"/>
          <w:sz w:val="24"/>
        </w:rPr>
        <w:t>Điểm GPA quy đổi (tối đa 20 điểm rèn luyện) được tự động cập nhật chính xác theo học kỳ tương ứng vào điểm tổng hợp.</w:t>
      </w:r>
    </w:p>
    <w:p>
      <w:pPr>
        <w:pStyle w:val="Heading2"/>
        <w:spacing before="180" after="60"/>
        <w:keepNext/>
      </w:pPr>
      <w:r>
        <w:rPr>
          <w:rFonts w:ascii="Calibri" w:hAnsi="Calibri"/>
          <w:b/>
          <w:sz w:val="26"/>
          <w:color w:val="2B579A"/>
        </w:rPr>
        <w:t>4. Dự Toán Chi Phí Vận Hành (Cloud Infrastructure)</w:t>
      </w:r>
    </w:p>
    <w:p>
      <w:pPr>
        <w:spacing w:after="120" w:line="240" w:lineRule="auto"/>
      </w:pPr>
      <w:r>
        <w:rPr>
          <w:rFonts w:ascii="Calibri" w:hAnsi="Calibri"/>
          <w:sz w:val="24"/>
        </w:rPr>
        <w:t>Hệ thống SV-DRL được tối ưu hóa kiến trúc nhẹ, hỗ trợ triển khai trên các hạ tầng cloud phổ biến với dự toán chi phí như sau:</w:t>
      </w:r>
    </w:p>
    <w:p>
      <w:pPr>
        <w:pStyle w:val="Heading3"/>
        <w:spacing before="180" after="60"/>
        <w:keepNext/>
      </w:pPr>
      <w:r>
        <w:rPr>
          <w:rFonts w:ascii="Calibri" w:hAnsi="Calibri"/>
          <w:b/>
          <w:sz w:val="22"/>
          <w:color w:val="2B579A"/>
        </w:rPr>
        <w:t>4.1. Môi trường thử nghiệm / Đánh giá (Free Tiers)</w:t>
      </w:r>
    </w:p>
    <w:p>
      <w:pPr>
        <w:pStyle w:val="ListParagraph"/>
        <w:numPr>
          <w:ilvl w:val="0"/>
          <w:numId w:val="1"/>
        </w:numPr>
        <w:spacing w:after="60"/>
      </w:pPr>
      <w:r>
        <w:rPr>
          <w:rFonts w:ascii="Calibri" w:hAnsi="Calibri"/>
          <w:sz w:val="24"/>
        </w:rPr>
        <w:t>Hosting (Railway): $0/tháng (Sử dụng gói Free Starter credit).</w:t>
      </w:r>
    </w:p>
    <w:p>
      <w:pPr>
        <w:pStyle w:val="ListParagraph"/>
        <w:numPr>
          <w:ilvl w:val="0"/>
          <w:numId w:val="1"/>
        </w:numPr>
        <w:spacing w:after="60"/>
      </w:pPr>
      <w:r>
        <w:rPr>
          <w:rFonts w:ascii="Calibri" w:hAnsi="Calibri"/>
          <w:sz w:val="24"/>
        </w:rPr>
        <w:t>Cơ sở dữ liệu (Aiven MySQL / Railway DB): $0/tháng (Gói MySQL miễn phí dung lượng dưới 1GB).</w:t>
      </w:r>
    </w:p>
    <w:p>
      <w:pPr>
        <w:pStyle w:val="ListParagraph"/>
        <w:numPr>
          <w:ilvl w:val="0"/>
          <w:numId w:val="1"/>
        </w:numPr>
        <w:spacing w:after="60"/>
      </w:pPr>
      <w:r>
        <w:rPr>
          <w:rFonts w:ascii="Calibri" w:hAnsi="Calibri"/>
          <w:sz w:val="24"/>
        </w:rPr>
        <w:t>Lưu trữ minh chứng (Supabase Storage / Cloudflare R2): $0/tháng (Miễn phí 10GB lưu trữ).</w:t>
      </w:r>
    </w:p>
    <w:p>
      <w:pPr>
        <w:pStyle w:val="ListParagraph"/>
        <w:numPr>
          <w:ilvl w:val="0"/>
          <w:numId w:val="1"/>
        </w:numPr>
        <w:spacing w:after="60"/>
      </w:pPr>
      <w:r>
        <w:rPr>
          <w:rFonts w:ascii="Calibri" w:hAnsi="Calibri"/>
          <w:sz w:val="24"/>
        </w:rPr>
        <w:t>Email gửi thông báo (Brevo): $0/tháng (Giới hạn gửi tối đa 300 emails/ngày).</w:t>
      </w:r>
    </w:p>
    <w:p>
      <w:pPr>
        <w:pStyle w:val="ListParagraph"/>
        <w:numPr>
          <w:ilvl w:val="0"/>
          <w:numId w:val="1"/>
        </w:numPr>
        <w:spacing w:after="60"/>
      </w:pPr>
      <w:r>
        <w:rPr>
          <w:rFonts w:ascii="Calibri" w:hAnsi="Calibri"/>
          <w:sz w:val="24"/>
        </w:rPr>
        <w:t>Tên miền (Domain): $0/tháng (Sử dụng subdomain mặc định .up.railway.app).</w:t>
      </w:r>
    </w:p>
    <w:p>
      <w:pPr>
        <w:spacing w:after="120" w:line="240" w:lineRule="auto"/>
      </w:pPr>
      <w:r>
        <w:rPr>
          <w:rFonts w:ascii="Calibri" w:hAnsi="Calibri"/>
          <w:sz w:val="24"/>
        </w:rPr>
        <w:t>Tổng chi phí thử nghiệm: $0/tháng.</w:t>
      </w:r>
    </w:p>
    <w:p>
      <w:pPr>
        <w:pStyle w:val="Heading3"/>
        <w:spacing before="180" after="60"/>
        <w:keepNext/>
      </w:pPr>
      <w:r>
        <w:rPr>
          <w:rFonts w:ascii="Calibri" w:hAnsi="Calibri"/>
          <w:b/>
          <w:sz w:val="22"/>
          <w:color w:val="2B579A"/>
        </w:rPr>
        <w:t>4.2. Môi trường vận hành thực tế (Production Scale - 5,000 - 10,000 sinh viên)</w:t>
      </w:r>
    </w:p>
    <w:p>
      <w:pPr>
        <w:pStyle w:val="ListParagraph"/>
        <w:numPr>
          <w:ilvl w:val="0"/>
          <w:numId w:val="1"/>
        </w:numPr>
        <w:spacing w:after="60"/>
      </w:pPr>
      <w:r>
        <w:rPr>
          <w:rFonts w:ascii="Calibri" w:hAnsi="Calibri"/>
          <w:sz w:val="24"/>
        </w:rPr>
        <w:t>Hosting (Railway Pro / VPS): $5 - $10/tháng (Đảm bảo container hoạt động 24/7, không bị ngủ đông).</w:t>
      </w:r>
    </w:p>
    <w:p>
      <w:pPr>
        <w:pStyle w:val="ListParagraph"/>
        <w:numPr>
          <w:ilvl w:val="0"/>
          <w:numId w:val="1"/>
        </w:numPr>
        <w:spacing w:after="60"/>
      </w:pPr>
      <w:r>
        <w:rPr>
          <w:rFonts w:ascii="Calibri" w:hAnsi="Calibri"/>
          <w:sz w:val="24"/>
        </w:rPr>
        <w:t>Cơ sở dữ liệu (Railway DB / Aiven Basic): $10 - $15/tháng (Tăng bộ nhớ RAM, dung lượng và hỗ trợ tự động sao lưu dữ liệu).</w:t>
      </w:r>
    </w:p>
    <w:p>
      <w:pPr>
        <w:pStyle w:val="ListParagraph"/>
        <w:numPr>
          <w:ilvl w:val="0"/>
          <w:numId w:val="1"/>
        </w:numPr>
        <w:spacing w:after="60"/>
      </w:pPr>
      <w:r>
        <w:rPr>
          <w:rFonts w:ascii="Calibri" w:hAnsi="Calibri"/>
          <w:sz w:val="24"/>
        </w:rPr>
        <w:t>Lưu trữ minh chứng (Cloudflare R2): $3 - $5/tháng (Chi phí lưu trữ ảnh minh chứng cực rẻ, không mất phí băng thông).</w:t>
      </w:r>
    </w:p>
    <w:p>
      <w:pPr>
        <w:pStyle w:val="ListParagraph"/>
        <w:numPr>
          <w:ilvl w:val="0"/>
          <w:numId w:val="1"/>
        </w:numPr>
        <w:spacing w:after="60"/>
      </w:pPr>
      <w:r>
        <w:rPr>
          <w:rFonts w:ascii="Calibri" w:hAnsi="Calibri"/>
          <w:sz w:val="24"/>
        </w:rPr>
        <w:t>Dịch vụ gửi Mail (Brevo / Mailgun): $5 - $10/tháng (Hỗ trợ gửi email báo điểm/nhắc nhở với số lượng lớn).</w:t>
      </w:r>
    </w:p>
    <w:p>
      <w:pPr>
        <w:pStyle w:val="ListParagraph"/>
        <w:numPr>
          <w:ilvl w:val="0"/>
          <w:numId w:val="1"/>
        </w:numPr>
        <w:spacing w:after="60"/>
      </w:pPr>
      <w:r>
        <w:rPr>
          <w:rFonts w:ascii="Calibri" w:hAnsi="Calibri"/>
          <w:sz w:val="24"/>
        </w:rPr>
        <w:t>Tên miền riêng (.edu.vn / .com): ~$10/năm (khoảng $0.8/tháng).</w:t>
      </w:r>
    </w:p>
    <w:p>
      <w:pPr>
        <w:spacing w:after="120" w:line="240" w:lineRule="auto"/>
      </w:pPr>
      <w:r>
        <w:rPr>
          <w:rFonts w:ascii="Calibri" w:hAnsi="Calibri"/>
          <w:sz w:val="24"/>
        </w:rPr>
        <w:t>Tổng chi phí vận hành thực tế ước tính: $23.8 - $40.8/tháng (tương đương khoảng 600,000đ - 1,000,000đ/tháng).</w:t>
      </w:r>
    </w:p>
  </w:body>
</w:document>
</file>

<file path=word/styles.xml><?xml version="1.0" encoding="utf-8"?>
<w:styles xmlns:w="http://schemas.openxmlformats.org/wordprocessingml/2006/main">
  <w:docDefaults>
    <w:rPrDefault>
      <w:rPr>
        <w:rFonts w:ascii="Calibri" w:eastAsia="Calibri" w:hAnsi="Calibri" w:cs="Calibri"/>
        <w:sz w:val="24"/>
        <w:szCs w:val="24"/>
        <w:lang w:val="vi-VN"/>
      </w:rPr>
    </w:rPrDefault>
  </w:docDefaults>
  <w:style w:type="paragraph" w:styleId="Normal" w:default="1">
    <w:name w:val="Normal"/>
  </w:style>
  <w:style w:type="paragraph" w:styleId="Heading1">
    <w:name w:val="heading 1"/>
    <w:basedOn w:val="Normal"/>
    <w:rPr>
      <w:b/>
      <w:sz w:val="36"/>
      <w:color w:val="2B579A"/>
    </w:rPr>
  </w:style>
  <w:style w:type="paragraph" w:styleId="Heading2">
    <w:name w:val="heading 2"/>
    <w:basedOn w:val="Normal"/>
    <w:rPr>
      <w:b/>
      <w:sz w:val="28"/>
      <w:color w:val="2B579A"/>
    </w:rPr>
  </w:style>
  <w:style w:type="paragraph" w:styleId="ListParagraph">
    <w:name w:val="List Paragraph"/>
    <w:basedOn w:val="Normal"/>
    <w:pPr>
      <w:ind w:left="720"/>
    </w:pPr>
  </w:style>
</w:styles>
</file>