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061FE" w14:textId="6A6988AC" w:rsidR="00633502" w:rsidRPr="008717B6" w:rsidRDefault="008717B6" w:rsidP="008717B6">
      <w:pPr>
        <w:jc w:val="center"/>
        <w:rPr>
          <w:b/>
          <w:bCs/>
          <w:sz w:val="40"/>
          <w:szCs w:val="40"/>
        </w:rPr>
      </w:pPr>
      <w:r w:rsidRPr="008717B6">
        <w:rPr>
          <w:b/>
          <w:bCs/>
          <w:sz w:val="40"/>
          <w:szCs w:val="40"/>
        </w:rPr>
        <w:t>BANKING</w:t>
      </w:r>
    </w:p>
    <w:p w14:paraId="47F7A05F" w14:textId="26478B9D" w:rsidR="008717B6" w:rsidRPr="008717B6" w:rsidRDefault="008717B6" w:rsidP="008717B6">
      <w:pPr>
        <w:jc w:val="center"/>
        <w:rPr>
          <w:b/>
          <w:bCs/>
          <w:sz w:val="36"/>
          <w:szCs w:val="36"/>
        </w:rPr>
      </w:pPr>
      <w:r w:rsidRPr="008717B6">
        <w:rPr>
          <w:b/>
          <w:bCs/>
          <w:sz w:val="36"/>
          <w:szCs w:val="36"/>
        </w:rPr>
        <w:t>BANK MARKETING CAMPAIGN ANALYSIS REPOR</w:t>
      </w:r>
      <w:r>
        <w:rPr>
          <w:b/>
          <w:bCs/>
          <w:sz w:val="36"/>
          <w:szCs w:val="36"/>
        </w:rPr>
        <w:t>T</w:t>
      </w:r>
      <w:r w:rsidRPr="008717B6">
        <w:pict w14:anchorId="3FA5A6CD">
          <v:rect id="_x0000_i1037" style="width:0;height:1.5pt" o:hralign="center" o:hrstd="t" o:hr="t" fillcolor="#a0a0a0" stroked="f"/>
        </w:pict>
      </w:r>
    </w:p>
    <w:p w14:paraId="01D0299E" w14:textId="4CA52C22" w:rsidR="008717B6" w:rsidRPr="008717B6" w:rsidRDefault="008717B6" w:rsidP="008717B6">
      <w:pPr>
        <w:rPr>
          <w:b/>
          <w:bCs/>
          <w:sz w:val="28"/>
          <w:szCs w:val="28"/>
        </w:rPr>
      </w:pPr>
      <w:r w:rsidRPr="008717B6">
        <w:rPr>
          <w:b/>
          <w:bCs/>
          <w:sz w:val="28"/>
          <w:szCs w:val="28"/>
        </w:rPr>
        <w:t>1. OVERALL CAMPAIGN PERFORMANCE</w:t>
      </w:r>
    </w:p>
    <w:p w14:paraId="29D9425B" w14:textId="66506770" w:rsidR="008717B6" w:rsidRPr="008717B6" w:rsidRDefault="008717B6" w:rsidP="008717B6">
      <w:pPr>
        <w:numPr>
          <w:ilvl w:val="0"/>
          <w:numId w:val="5"/>
        </w:numPr>
      </w:pPr>
      <w:r w:rsidRPr="008717B6">
        <w:rPr>
          <w:b/>
          <w:bCs/>
        </w:rPr>
        <w:t>Count of "y":</w:t>
      </w:r>
      <w:r w:rsidRPr="008717B6">
        <w:t xml:space="preserve"> 45.21K</w:t>
      </w:r>
    </w:p>
    <w:p w14:paraId="0ED35A21" w14:textId="77777777" w:rsidR="008717B6" w:rsidRPr="008717B6" w:rsidRDefault="008717B6" w:rsidP="008717B6">
      <w:pPr>
        <w:numPr>
          <w:ilvl w:val="0"/>
          <w:numId w:val="5"/>
        </w:numPr>
      </w:pPr>
      <w:r w:rsidRPr="008717B6">
        <w:rPr>
          <w:b/>
          <w:bCs/>
        </w:rPr>
        <w:t>Success Rate:</w:t>
      </w:r>
      <w:r w:rsidRPr="008717B6">
        <w:t xml:space="preserve"> 11.70% (Approximately 11.7% of the contacts resulted in a positive response or "Yes")</w:t>
      </w:r>
    </w:p>
    <w:p w14:paraId="5D356FE4" w14:textId="77777777" w:rsidR="008717B6" w:rsidRPr="008717B6" w:rsidRDefault="008717B6" w:rsidP="008717B6">
      <w:pPr>
        <w:numPr>
          <w:ilvl w:val="0"/>
          <w:numId w:val="5"/>
        </w:numPr>
      </w:pPr>
      <w:r w:rsidRPr="008717B6">
        <w:rPr>
          <w:b/>
          <w:bCs/>
        </w:rPr>
        <w:t>Failure Rate:</w:t>
      </w:r>
      <w:r w:rsidRPr="008717B6">
        <w:t xml:space="preserve"> 11.70% (The failure rate is equal to the success rate, suggesting the remaining responses may be failures or neutral outcomes).</w:t>
      </w:r>
    </w:p>
    <w:p w14:paraId="661257BD" w14:textId="4778955C" w:rsidR="008717B6" w:rsidRPr="008717B6" w:rsidRDefault="008717B6" w:rsidP="008717B6">
      <w:pPr>
        <w:rPr>
          <w:b/>
          <w:bCs/>
          <w:sz w:val="28"/>
          <w:szCs w:val="28"/>
        </w:rPr>
      </w:pPr>
      <w:r w:rsidRPr="008717B6">
        <w:rPr>
          <w:b/>
          <w:bCs/>
          <w:sz w:val="28"/>
          <w:szCs w:val="28"/>
        </w:rPr>
        <w:t>2. BREAKDOWN BY JOB TYPE</w:t>
      </w:r>
    </w:p>
    <w:p w14:paraId="68BCECA9" w14:textId="77777777" w:rsidR="008717B6" w:rsidRPr="008717B6" w:rsidRDefault="008717B6" w:rsidP="008717B6">
      <w:r w:rsidRPr="008717B6">
        <w:t>The distribution of successful "Yes" responses by job type is as follows:</w:t>
      </w:r>
    </w:p>
    <w:p w14:paraId="32D00B07" w14:textId="77777777" w:rsidR="008717B6" w:rsidRPr="008717B6" w:rsidRDefault="008717B6" w:rsidP="008717B6">
      <w:pPr>
        <w:numPr>
          <w:ilvl w:val="0"/>
          <w:numId w:val="6"/>
        </w:numPr>
      </w:pPr>
      <w:r w:rsidRPr="008717B6">
        <w:rPr>
          <w:b/>
          <w:bCs/>
        </w:rPr>
        <w:t>Management:</w:t>
      </w:r>
      <w:r w:rsidRPr="008717B6">
        <w:t xml:space="preserve"> 1,301</w:t>
      </w:r>
    </w:p>
    <w:p w14:paraId="7243DA24" w14:textId="77777777" w:rsidR="008717B6" w:rsidRPr="008717B6" w:rsidRDefault="008717B6" w:rsidP="008717B6">
      <w:pPr>
        <w:numPr>
          <w:ilvl w:val="0"/>
          <w:numId w:val="6"/>
        </w:numPr>
      </w:pPr>
      <w:r w:rsidRPr="008717B6">
        <w:rPr>
          <w:b/>
          <w:bCs/>
        </w:rPr>
        <w:t>Technician:</w:t>
      </w:r>
      <w:r w:rsidRPr="008717B6">
        <w:t xml:space="preserve"> 840</w:t>
      </w:r>
    </w:p>
    <w:p w14:paraId="301485AC" w14:textId="77777777" w:rsidR="008717B6" w:rsidRPr="008717B6" w:rsidRDefault="008717B6" w:rsidP="008717B6">
      <w:pPr>
        <w:numPr>
          <w:ilvl w:val="0"/>
          <w:numId w:val="6"/>
        </w:numPr>
      </w:pPr>
      <w:r w:rsidRPr="008717B6">
        <w:rPr>
          <w:b/>
          <w:bCs/>
        </w:rPr>
        <w:t>Blue-collar workers:</w:t>
      </w:r>
      <w:r w:rsidRPr="008717B6">
        <w:t xml:space="preserve"> 708</w:t>
      </w:r>
    </w:p>
    <w:p w14:paraId="1E58F539" w14:textId="77777777" w:rsidR="008717B6" w:rsidRPr="008717B6" w:rsidRDefault="008717B6" w:rsidP="008717B6">
      <w:pPr>
        <w:numPr>
          <w:ilvl w:val="0"/>
          <w:numId w:val="6"/>
        </w:numPr>
      </w:pPr>
      <w:r w:rsidRPr="008717B6">
        <w:rPr>
          <w:b/>
          <w:bCs/>
        </w:rPr>
        <w:t>Admin:</w:t>
      </w:r>
      <w:r w:rsidRPr="008717B6">
        <w:t xml:space="preserve"> 631</w:t>
      </w:r>
    </w:p>
    <w:p w14:paraId="55C44819" w14:textId="77777777" w:rsidR="008717B6" w:rsidRPr="008717B6" w:rsidRDefault="008717B6" w:rsidP="008717B6">
      <w:pPr>
        <w:numPr>
          <w:ilvl w:val="0"/>
          <w:numId w:val="6"/>
        </w:numPr>
      </w:pPr>
      <w:r w:rsidRPr="008717B6">
        <w:rPr>
          <w:b/>
          <w:bCs/>
        </w:rPr>
        <w:t>Retired:</w:t>
      </w:r>
      <w:r w:rsidRPr="008717B6">
        <w:t xml:space="preserve"> 516</w:t>
      </w:r>
    </w:p>
    <w:p w14:paraId="660ED05B" w14:textId="77777777" w:rsidR="008717B6" w:rsidRPr="008717B6" w:rsidRDefault="008717B6" w:rsidP="008717B6">
      <w:pPr>
        <w:numPr>
          <w:ilvl w:val="0"/>
          <w:numId w:val="6"/>
        </w:numPr>
      </w:pPr>
      <w:r w:rsidRPr="008717B6">
        <w:rPr>
          <w:b/>
          <w:bCs/>
        </w:rPr>
        <w:t>Services:</w:t>
      </w:r>
      <w:r w:rsidRPr="008717B6">
        <w:t xml:space="preserve"> 369</w:t>
      </w:r>
    </w:p>
    <w:p w14:paraId="615C14C3" w14:textId="77777777" w:rsidR="008717B6" w:rsidRPr="008717B6" w:rsidRDefault="008717B6" w:rsidP="008717B6">
      <w:pPr>
        <w:numPr>
          <w:ilvl w:val="0"/>
          <w:numId w:val="6"/>
        </w:numPr>
      </w:pPr>
      <w:r w:rsidRPr="008717B6">
        <w:rPr>
          <w:b/>
          <w:bCs/>
        </w:rPr>
        <w:t>Student:</w:t>
      </w:r>
      <w:r w:rsidRPr="008717B6">
        <w:t xml:space="preserve"> 269</w:t>
      </w:r>
    </w:p>
    <w:p w14:paraId="249577A6" w14:textId="77777777" w:rsidR="008717B6" w:rsidRPr="008717B6" w:rsidRDefault="008717B6" w:rsidP="008717B6">
      <w:pPr>
        <w:numPr>
          <w:ilvl w:val="0"/>
          <w:numId w:val="6"/>
        </w:numPr>
      </w:pPr>
      <w:r w:rsidRPr="008717B6">
        <w:rPr>
          <w:b/>
          <w:bCs/>
        </w:rPr>
        <w:t>Unemployed:</w:t>
      </w:r>
      <w:r w:rsidRPr="008717B6">
        <w:t xml:space="preserve"> 202</w:t>
      </w:r>
    </w:p>
    <w:p w14:paraId="151BE9FB" w14:textId="77777777" w:rsidR="008717B6" w:rsidRPr="008717B6" w:rsidRDefault="008717B6" w:rsidP="008717B6">
      <w:pPr>
        <w:numPr>
          <w:ilvl w:val="0"/>
          <w:numId w:val="6"/>
        </w:numPr>
      </w:pPr>
      <w:r w:rsidRPr="008717B6">
        <w:rPr>
          <w:b/>
          <w:bCs/>
        </w:rPr>
        <w:t>Self-employed:</w:t>
      </w:r>
      <w:r w:rsidRPr="008717B6">
        <w:t xml:space="preserve"> 187</w:t>
      </w:r>
    </w:p>
    <w:p w14:paraId="6AEC1161" w14:textId="77777777" w:rsidR="008717B6" w:rsidRPr="008717B6" w:rsidRDefault="008717B6" w:rsidP="008717B6">
      <w:pPr>
        <w:numPr>
          <w:ilvl w:val="0"/>
          <w:numId w:val="6"/>
        </w:numPr>
      </w:pPr>
      <w:r w:rsidRPr="008717B6">
        <w:rPr>
          <w:b/>
          <w:bCs/>
        </w:rPr>
        <w:t>Entrepreneur:</w:t>
      </w:r>
      <w:r w:rsidRPr="008717B6">
        <w:t xml:space="preserve"> 123</w:t>
      </w:r>
    </w:p>
    <w:p w14:paraId="7D63B636" w14:textId="77777777" w:rsidR="008717B6" w:rsidRPr="008717B6" w:rsidRDefault="008717B6" w:rsidP="008717B6">
      <w:pPr>
        <w:numPr>
          <w:ilvl w:val="0"/>
          <w:numId w:val="6"/>
        </w:numPr>
      </w:pPr>
      <w:r w:rsidRPr="008717B6">
        <w:rPr>
          <w:b/>
          <w:bCs/>
        </w:rPr>
        <w:t>Housemaid:</w:t>
      </w:r>
      <w:r w:rsidRPr="008717B6">
        <w:t xml:space="preserve"> 109</w:t>
      </w:r>
    </w:p>
    <w:p w14:paraId="75523F1C" w14:textId="77777777" w:rsidR="008717B6" w:rsidRPr="008717B6" w:rsidRDefault="008717B6" w:rsidP="008717B6">
      <w:pPr>
        <w:numPr>
          <w:ilvl w:val="0"/>
          <w:numId w:val="6"/>
        </w:numPr>
      </w:pPr>
      <w:r w:rsidRPr="008717B6">
        <w:rPr>
          <w:b/>
          <w:bCs/>
        </w:rPr>
        <w:t>Unknown:</w:t>
      </w:r>
      <w:r w:rsidRPr="008717B6">
        <w:t xml:space="preserve"> 34</w:t>
      </w:r>
    </w:p>
    <w:p w14:paraId="6F4BFAFF" w14:textId="77777777" w:rsidR="008717B6" w:rsidRPr="008717B6" w:rsidRDefault="008717B6" w:rsidP="008717B6">
      <w:r w:rsidRPr="008717B6">
        <w:rPr>
          <w:b/>
          <w:bCs/>
        </w:rPr>
        <w:t>Insight:</w:t>
      </w:r>
    </w:p>
    <w:p w14:paraId="50E90325" w14:textId="77777777" w:rsidR="008717B6" w:rsidRPr="008717B6" w:rsidRDefault="008717B6" w:rsidP="008717B6">
      <w:pPr>
        <w:numPr>
          <w:ilvl w:val="0"/>
          <w:numId w:val="7"/>
        </w:numPr>
      </w:pPr>
      <w:r w:rsidRPr="008717B6">
        <w:lastRenderedPageBreak/>
        <w:t>Management, technician, and blue-collar workers show the highest number of positive responses. The retired, student, and unemployed groups have lower response rates, possibly due to lower engagement or relevance.</w:t>
      </w:r>
    </w:p>
    <w:p w14:paraId="162A7BAF" w14:textId="391C7390" w:rsidR="008717B6" w:rsidRPr="008717B6" w:rsidRDefault="008717B6" w:rsidP="008717B6">
      <w:pPr>
        <w:rPr>
          <w:b/>
          <w:bCs/>
          <w:sz w:val="28"/>
          <w:szCs w:val="28"/>
        </w:rPr>
      </w:pPr>
      <w:r w:rsidRPr="008717B6">
        <w:rPr>
          <w:b/>
          <w:bCs/>
          <w:sz w:val="28"/>
          <w:szCs w:val="28"/>
        </w:rPr>
        <w:t>3. BREAKDOWN BY AGE GROUP</w:t>
      </w:r>
    </w:p>
    <w:p w14:paraId="76D7A8DC" w14:textId="77777777" w:rsidR="008717B6" w:rsidRPr="008717B6" w:rsidRDefault="008717B6" w:rsidP="008717B6">
      <w:r w:rsidRPr="008717B6">
        <w:t>The number of successful "Yes" responses by age group is as follows:</w:t>
      </w:r>
    </w:p>
    <w:p w14:paraId="4A75FA48" w14:textId="77777777" w:rsidR="008717B6" w:rsidRPr="008717B6" w:rsidRDefault="008717B6" w:rsidP="008717B6">
      <w:pPr>
        <w:numPr>
          <w:ilvl w:val="0"/>
          <w:numId w:val="8"/>
        </w:numPr>
      </w:pPr>
      <w:r w:rsidRPr="008717B6">
        <w:rPr>
          <w:b/>
          <w:bCs/>
        </w:rPr>
        <w:t>36-50 years:</w:t>
      </w:r>
      <w:r w:rsidRPr="008717B6">
        <w:t xml:space="preserve"> 19,049 responses</w:t>
      </w:r>
    </w:p>
    <w:p w14:paraId="2B0F6776" w14:textId="77777777" w:rsidR="008717B6" w:rsidRPr="008717B6" w:rsidRDefault="008717B6" w:rsidP="008717B6">
      <w:pPr>
        <w:numPr>
          <w:ilvl w:val="0"/>
          <w:numId w:val="8"/>
        </w:numPr>
      </w:pPr>
      <w:r w:rsidRPr="008717B6">
        <w:rPr>
          <w:b/>
          <w:bCs/>
        </w:rPr>
        <w:t>26-35 years:</w:t>
      </w:r>
      <w:r w:rsidRPr="008717B6">
        <w:t xml:space="preserve"> 15,571 responses</w:t>
      </w:r>
    </w:p>
    <w:p w14:paraId="0900E267" w14:textId="77777777" w:rsidR="008717B6" w:rsidRPr="008717B6" w:rsidRDefault="008717B6" w:rsidP="008717B6">
      <w:pPr>
        <w:numPr>
          <w:ilvl w:val="0"/>
          <w:numId w:val="8"/>
        </w:numPr>
      </w:pPr>
      <w:r w:rsidRPr="008717B6">
        <w:rPr>
          <w:b/>
          <w:bCs/>
        </w:rPr>
        <w:t>50+:</w:t>
      </w:r>
      <w:r w:rsidRPr="008717B6">
        <w:t xml:space="preserve"> 9,255 responses</w:t>
      </w:r>
    </w:p>
    <w:p w14:paraId="01FA364E" w14:textId="77777777" w:rsidR="008717B6" w:rsidRPr="008717B6" w:rsidRDefault="008717B6" w:rsidP="008717B6">
      <w:pPr>
        <w:numPr>
          <w:ilvl w:val="0"/>
          <w:numId w:val="8"/>
        </w:numPr>
      </w:pPr>
      <w:r w:rsidRPr="008717B6">
        <w:rPr>
          <w:b/>
          <w:bCs/>
        </w:rPr>
        <w:t>18-25 years:</w:t>
      </w:r>
      <w:r w:rsidRPr="008717B6">
        <w:t xml:space="preserve"> 1,336 responses</w:t>
      </w:r>
    </w:p>
    <w:p w14:paraId="7701FA3E" w14:textId="77777777" w:rsidR="008717B6" w:rsidRPr="008717B6" w:rsidRDefault="008717B6" w:rsidP="008717B6">
      <w:r w:rsidRPr="008717B6">
        <w:rPr>
          <w:b/>
          <w:bCs/>
        </w:rPr>
        <w:t>Insight:</w:t>
      </w:r>
    </w:p>
    <w:p w14:paraId="21EA074D" w14:textId="77777777" w:rsidR="008717B6" w:rsidRPr="008717B6" w:rsidRDefault="008717B6" w:rsidP="008717B6">
      <w:pPr>
        <w:numPr>
          <w:ilvl w:val="0"/>
          <w:numId w:val="9"/>
        </w:numPr>
      </w:pPr>
      <w:r w:rsidRPr="008717B6">
        <w:t>The highest number of responses comes from the 36-50 age group, followed by the 26-35 group. Younger individuals (18-25) have fewer positive responses, suggesting that they may be less interested in or less likely to engage with the bank's offerings.</w:t>
      </w:r>
    </w:p>
    <w:p w14:paraId="2A26D93C" w14:textId="3A751DE3" w:rsidR="008717B6" w:rsidRPr="008717B6" w:rsidRDefault="008717B6" w:rsidP="008717B6">
      <w:pPr>
        <w:rPr>
          <w:b/>
          <w:bCs/>
          <w:sz w:val="28"/>
          <w:szCs w:val="28"/>
        </w:rPr>
      </w:pPr>
      <w:r w:rsidRPr="008717B6">
        <w:rPr>
          <w:b/>
          <w:bCs/>
          <w:sz w:val="28"/>
          <w:szCs w:val="28"/>
        </w:rPr>
        <w:t>4. BALANCE BETWEEN "YES" AND "NO" RESPONSES</w:t>
      </w:r>
    </w:p>
    <w:p w14:paraId="2F68987B" w14:textId="77777777" w:rsidR="008717B6" w:rsidRPr="008717B6" w:rsidRDefault="008717B6" w:rsidP="008717B6">
      <w:pPr>
        <w:numPr>
          <w:ilvl w:val="0"/>
          <w:numId w:val="10"/>
        </w:numPr>
      </w:pPr>
      <w:r w:rsidRPr="008717B6">
        <w:rPr>
          <w:b/>
          <w:bCs/>
        </w:rPr>
        <w:t>No Responses:</w:t>
      </w:r>
      <w:r w:rsidRPr="008717B6">
        <w:t xml:space="preserve"> 52,046,909 (84.51% of total responses)</w:t>
      </w:r>
    </w:p>
    <w:p w14:paraId="5AAE7DAD" w14:textId="77777777" w:rsidR="008717B6" w:rsidRPr="008717B6" w:rsidRDefault="008717B6" w:rsidP="008717B6">
      <w:pPr>
        <w:numPr>
          <w:ilvl w:val="0"/>
          <w:numId w:val="10"/>
        </w:numPr>
      </w:pPr>
      <w:r w:rsidRPr="008717B6">
        <w:rPr>
          <w:b/>
          <w:bCs/>
        </w:rPr>
        <w:t>Yes Responses:</w:t>
      </w:r>
      <w:r w:rsidRPr="008717B6">
        <w:t xml:space="preserve"> 9,542,773 (15.49% of total responses)</w:t>
      </w:r>
    </w:p>
    <w:p w14:paraId="73182B43" w14:textId="77777777" w:rsidR="008717B6" w:rsidRPr="008717B6" w:rsidRDefault="008717B6" w:rsidP="008717B6">
      <w:r w:rsidRPr="008717B6">
        <w:rPr>
          <w:b/>
          <w:bCs/>
        </w:rPr>
        <w:t>Insight:</w:t>
      </w:r>
    </w:p>
    <w:p w14:paraId="0140AC3E" w14:textId="77777777" w:rsidR="008717B6" w:rsidRPr="008717B6" w:rsidRDefault="008717B6" w:rsidP="008717B6">
      <w:pPr>
        <w:numPr>
          <w:ilvl w:val="0"/>
          <w:numId w:val="11"/>
        </w:numPr>
      </w:pPr>
      <w:r w:rsidRPr="008717B6">
        <w:t>A significant portion of the responses is negative ("No"). However, the 15.49% positive response rate indicates a reasonable level of engagement considering the overall outreach.</w:t>
      </w:r>
    </w:p>
    <w:p w14:paraId="291C8697" w14:textId="6C3F91BC" w:rsidR="008717B6" w:rsidRPr="008717B6" w:rsidRDefault="008717B6" w:rsidP="008717B6">
      <w:pPr>
        <w:rPr>
          <w:b/>
          <w:bCs/>
          <w:sz w:val="28"/>
          <w:szCs w:val="28"/>
        </w:rPr>
      </w:pPr>
      <w:r w:rsidRPr="008717B6">
        <w:rPr>
          <w:b/>
          <w:bCs/>
          <w:sz w:val="28"/>
          <w:szCs w:val="28"/>
        </w:rPr>
        <w:t>5. BREAKDOWN BY MARITAL STATUS AND EDUCATION LEVEL</w:t>
      </w:r>
    </w:p>
    <w:p w14:paraId="46640DF2" w14:textId="77777777" w:rsidR="008717B6" w:rsidRPr="008717B6" w:rsidRDefault="008717B6" w:rsidP="008717B6">
      <w:pPr>
        <w:numPr>
          <w:ilvl w:val="0"/>
          <w:numId w:val="12"/>
        </w:numPr>
      </w:pPr>
      <w:r w:rsidRPr="008717B6">
        <w:rPr>
          <w:b/>
          <w:bCs/>
        </w:rPr>
        <w:t>Married:</w:t>
      </w:r>
    </w:p>
    <w:p w14:paraId="0777E003" w14:textId="77777777" w:rsidR="008717B6" w:rsidRPr="008717B6" w:rsidRDefault="008717B6" w:rsidP="008717B6">
      <w:pPr>
        <w:numPr>
          <w:ilvl w:val="1"/>
          <w:numId w:val="12"/>
        </w:numPr>
      </w:pPr>
      <w:r w:rsidRPr="008717B6">
        <w:t>Primary: 5,246</w:t>
      </w:r>
    </w:p>
    <w:p w14:paraId="1CD97BDA" w14:textId="77777777" w:rsidR="008717B6" w:rsidRPr="008717B6" w:rsidRDefault="008717B6" w:rsidP="008717B6">
      <w:pPr>
        <w:numPr>
          <w:ilvl w:val="1"/>
          <w:numId w:val="12"/>
        </w:numPr>
      </w:pPr>
      <w:r w:rsidRPr="008717B6">
        <w:t>Secondary: 13,770</w:t>
      </w:r>
    </w:p>
    <w:p w14:paraId="5E712CD7" w14:textId="77777777" w:rsidR="008717B6" w:rsidRPr="008717B6" w:rsidRDefault="008717B6" w:rsidP="008717B6">
      <w:pPr>
        <w:numPr>
          <w:ilvl w:val="1"/>
          <w:numId w:val="12"/>
        </w:numPr>
      </w:pPr>
      <w:r w:rsidRPr="008717B6">
        <w:t>Tertiary: 7,038</w:t>
      </w:r>
    </w:p>
    <w:p w14:paraId="36D21B5C" w14:textId="77777777" w:rsidR="008717B6" w:rsidRPr="008717B6" w:rsidRDefault="008717B6" w:rsidP="008717B6">
      <w:pPr>
        <w:numPr>
          <w:ilvl w:val="1"/>
          <w:numId w:val="12"/>
        </w:numPr>
      </w:pPr>
      <w:r w:rsidRPr="008717B6">
        <w:t>Unknown: 1,160</w:t>
      </w:r>
    </w:p>
    <w:p w14:paraId="35705770" w14:textId="77777777" w:rsidR="008717B6" w:rsidRPr="008717B6" w:rsidRDefault="008717B6" w:rsidP="008717B6">
      <w:pPr>
        <w:numPr>
          <w:ilvl w:val="0"/>
          <w:numId w:val="12"/>
        </w:numPr>
      </w:pPr>
      <w:r w:rsidRPr="008717B6">
        <w:rPr>
          <w:b/>
          <w:bCs/>
        </w:rPr>
        <w:t>Single:</w:t>
      </w:r>
    </w:p>
    <w:p w14:paraId="31D73450" w14:textId="77777777" w:rsidR="008717B6" w:rsidRPr="008717B6" w:rsidRDefault="008717B6" w:rsidP="008717B6">
      <w:pPr>
        <w:numPr>
          <w:ilvl w:val="1"/>
          <w:numId w:val="12"/>
        </w:numPr>
      </w:pPr>
      <w:r w:rsidRPr="008717B6">
        <w:lastRenderedPageBreak/>
        <w:t>Primary: 853</w:t>
      </w:r>
    </w:p>
    <w:p w14:paraId="27FEA5A0" w14:textId="77777777" w:rsidR="008717B6" w:rsidRPr="008717B6" w:rsidRDefault="008717B6" w:rsidP="008717B6">
      <w:pPr>
        <w:numPr>
          <w:ilvl w:val="1"/>
          <w:numId w:val="12"/>
        </w:numPr>
      </w:pPr>
      <w:r w:rsidRPr="008717B6">
        <w:t>Secondary: 6,617</w:t>
      </w:r>
    </w:p>
    <w:p w14:paraId="6F24A651" w14:textId="77777777" w:rsidR="008717B6" w:rsidRPr="008717B6" w:rsidRDefault="008717B6" w:rsidP="008717B6">
      <w:pPr>
        <w:numPr>
          <w:ilvl w:val="1"/>
          <w:numId w:val="12"/>
        </w:numPr>
      </w:pPr>
      <w:r w:rsidRPr="008717B6">
        <w:t>Tertiary: 4,792</w:t>
      </w:r>
    </w:p>
    <w:p w14:paraId="6C0D5E4B" w14:textId="77777777" w:rsidR="008717B6" w:rsidRPr="008717B6" w:rsidRDefault="008717B6" w:rsidP="008717B6">
      <w:pPr>
        <w:numPr>
          <w:ilvl w:val="1"/>
          <w:numId w:val="12"/>
        </w:numPr>
      </w:pPr>
      <w:r w:rsidRPr="008717B6">
        <w:t>Unknown: 528</w:t>
      </w:r>
    </w:p>
    <w:p w14:paraId="57E7609A" w14:textId="77777777" w:rsidR="008717B6" w:rsidRPr="008717B6" w:rsidRDefault="008717B6" w:rsidP="008717B6">
      <w:pPr>
        <w:numPr>
          <w:ilvl w:val="0"/>
          <w:numId w:val="12"/>
        </w:numPr>
      </w:pPr>
      <w:r w:rsidRPr="008717B6">
        <w:rPr>
          <w:b/>
          <w:bCs/>
        </w:rPr>
        <w:t>Divorced:</w:t>
      </w:r>
    </w:p>
    <w:p w14:paraId="6271C970" w14:textId="77777777" w:rsidR="008717B6" w:rsidRPr="008717B6" w:rsidRDefault="008717B6" w:rsidP="008717B6">
      <w:pPr>
        <w:numPr>
          <w:ilvl w:val="1"/>
          <w:numId w:val="12"/>
        </w:numPr>
      </w:pPr>
      <w:r w:rsidRPr="008717B6">
        <w:t>Primary: 752</w:t>
      </w:r>
    </w:p>
    <w:p w14:paraId="4249B131" w14:textId="77777777" w:rsidR="008717B6" w:rsidRPr="008717B6" w:rsidRDefault="008717B6" w:rsidP="008717B6">
      <w:pPr>
        <w:numPr>
          <w:ilvl w:val="1"/>
          <w:numId w:val="12"/>
        </w:numPr>
      </w:pPr>
      <w:r w:rsidRPr="008717B6">
        <w:t>Secondary: 2,815</w:t>
      </w:r>
    </w:p>
    <w:p w14:paraId="201F8709" w14:textId="77777777" w:rsidR="008717B6" w:rsidRPr="008717B6" w:rsidRDefault="008717B6" w:rsidP="008717B6">
      <w:pPr>
        <w:numPr>
          <w:ilvl w:val="1"/>
          <w:numId w:val="12"/>
        </w:numPr>
      </w:pPr>
      <w:r w:rsidRPr="008717B6">
        <w:t>Tertiary: 1,471</w:t>
      </w:r>
    </w:p>
    <w:p w14:paraId="748C1CC3" w14:textId="77777777" w:rsidR="008717B6" w:rsidRPr="008717B6" w:rsidRDefault="008717B6" w:rsidP="008717B6">
      <w:pPr>
        <w:numPr>
          <w:ilvl w:val="1"/>
          <w:numId w:val="12"/>
        </w:numPr>
      </w:pPr>
      <w:r w:rsidRPr="008717B6">
        <w:t>Unknown: 169</w:t>
      </w:r>
    </w:p>
    <w:p w14:paraId="3E386365" w14:textId="77777777" w:rsidR="008717B6" w:rsidRPr="008717B6" w:rsidRDefault="008717B6" w:rsidP="008717B6">
      <w:r w:rsidRPr="008717B6">
        <w:rPr>
          <w:b/>
          <w:bCs/>
        </w:rPr>
        <w:t>Insight:</w:t>
      </w:r>
    </w:p>
    <w:p w14:paraId="1449EB97" w14:textId="77777777" w:rsidR="008717B6" w:rsidRPr="008717B6" w:rsidRDefault="008717B6" w:rsidP="008717B6">
      <w:pPr>
        <w:numPr>
          <w:ilvl w:val="0"/>
          <w:numId w:val="13"/>
        </w:numPr>
      </w:pPr>
      <w:r w:rsidRPr="008717B6">
        <w:t>Married individuals, especially those with secondary or tertiary education, have the highest engagement. Single and divorced individuals also show notable engagement, but with lower conversion rates compared to the married group.</w:t>
      </w:r>
    </w:p>
    <w:p w14:paraId="72DFC7C9" w14:textId="2DAD369D" w:rsidR="008717B6" w:rsidRPr="008717B6" w:rsidRDefault="008717B6" w:rsidP="008717B6">
      <w:pPr>
        <w:rPr>
          <w:b/>
          <w:bCs/>
          <w:sz w:val="28"/>
          <w:szCs w:val="28"/>
        </w:rPr>
      </w:pPr>
      <w:r w:rsidRPr="008717B6">
        <w:rPr>
          <w:b/>
          <w:bCs/>
          <w:sz w:val="28"/>
          <w:szCs w:val="28"/>
        </w:rPr>
        <w:t>6. DURATION OF INTERACTION</w:t>
      </w:r>
    </w:p>
    <w:p w14:paraId="0E005240" w14:textId="77777777" w:rsidR="008717B6" w:rsidRPr="008717B6" w:rsidRDefault="008717B6" w:rsidP="008717B6">
      <w:pPr>
        <w:numPr>
          <w:ilvl w:val="0"/>
          <w:numId w:val="14"/>
        </w:numPr>
      </w:pPr>
      <w:r w:rsidRPr="008717B6">
        <w:rPr>
          <w:b/>
          <w:bCs/>
        </w:rPr>
        <w:t>Yes Responses:</w:t>
      </w:r>
      <w:r w:rsidRPr="008717B6">
        <w:t xml:space="preserve"> 537.29 seconds (indicating longer engagement with those who responded positively)</w:t>
      </w:r>
    </w:p>
    <w:p w14:paraId="3D6007D7" w14:textId="77777777" w:rsidR="008717B6" w:rsidRPr="008717B6" w:rsidRDefault="008717B6" w:rsidP="008717B6">
      <w:pPr>
        <w:numPr>
          <w:ilvl w:val="0"/>
          <w:numId w:val="14"/>
        </w:numPr>
      </w:pPr>
      <w:r w:rsidRPr="008717B6">
        <w:rPr>
          <w:b/>
          <w:bCs/>
        </w:rPr>
        <w:t>No Responses:</w:t>
      </w:r>
      <w:r w:rsidRPr="008717B6">
        <w:t xml:space="preserve"> 221.18 seconds (shorter engagement with those who responded negatively)</w:t>
      </w:r>
    </w:p>
    <w:p w14:paraId="28198B7D" w14:textId="77777777" w:rsidR="008717B6" w:rsidRPr="008717B6" w:rsidRDefault="008717B6" w:rsidP="008717B6">
      <w:r w:rsidRPr="008717B6">
        <w:rPr>
          <w:b/>
          <w:bCs/>
        </w:rPr>
        <w:t>Insight:</w:t>
      </w:r>
    </w:p>
    <w:p w14:paraId="7708FFB7" w14:textId="77777777" w:rsidR="008717B6" w:rsidRPr="008717B6" w:rsidRDefault="008717B6" w:rsidP="008717B6">
      <w:pPr>
        <w:numPr>
          <w:ilvl w:val="0"/>
          <w:numId w:val="15"/>
        </w:numPr>
      </w:pPr>
      <w:r w:rsidRPr="008717B6">
        <w:t>Longer interactions are associated with higher success rates. This suggests that more time spent engaging with individuals may lead to better conversion.</w:t>
      </w:r>
    </w:p>
    <w:p w14:paraId="2F47105C" w14:textId="64D910AD" w:rsidR="008717B6" w:rsidRPr="008717B6" w:rsidRDefault="008717B6" w:rsidP="008717B6">
      <w:pPr>
        <w:rPr>
          <w:b/>
          <w:bCs/>
          <w:sz w:val="28"/>
          <w:szCs w:val="28"/>
        </w:rPr>
      </w:pPr>
      <w:r w:rsidRPr="008717B6">
        <w:rPr>
          <w:b/>
          <w:bCs/>
          <w:sz w:val="28"/>
          <w:szCs w:val="28"/>
        </w:rPr>
        <w:t>7. PREVIOUS OUTCOME (POUTCOME)</w:t>
      </w:r>
    </w:p>
    <w:p w14:paraId="544B5D15" w14:textId="77777777" w:rsidR="008717B6" w:rsidRPr="008717B6" w:rsidRDefault="008717B6" w:rsidP="008717B6">
      <w:pPr>
        <w:numPr>
          <w:ilvl w:val="0"/>
          <w:numId w:val="16"/>
        </w:numPr>
      </w:pPr>
      <w:r w:rsidRPr="008717B6">
        <w:rPr>
          <w:b/>
          <w:bCs/>
        </w:rPr>
        <w:t>Unknown:</w:t>
      </w:r>
      <w:r w:rsidRPr="008717B6">
        <w:t xml:space="preserve"> 3,386 responses</w:t>
      </w:r>
    </w:p>
    <w:p w14:paraId="6A3EC94A" w14:textId="77777777" w:rsidR="008717B6" w:rsidRPr="008717B6" w:rsidRDefault="008717B6" w:rsidP="008717B6">
      <w:pPr>
        <w:numPr>
          <w:ilvl w:val="0"/>
          <w:numId w:val="16"/>
        </w:numPr>
      </w:pPr>
      <w:r w:rsidRPr="008717B6">
        <w:rPr>
          <w:b/>
          <w:bCs/>
        </w:rPr>
        <w:t>Success:</w:t>
      </w:r>
      <w:r w:rsidRPr="008717B6">
        <w:t xml:space="preserve"> 978 responses</w:t>
      </w:r>
    </w:p>
    <w:p w14:paraId="05BD13D9" w14:textId="77777777" w:rsidR="008717B6" w:rsidRPr="008717B6" w:rsidRDefault="008717B6" w:rsidP="008717B6">
      <w:pPr>
        <w:numPr>
          <w:ilvl w:val="0"/>
          <w:numId w:val="16"/>
        </w:numPr>
      </w:pPr>
      <w:r w:rsidRPr="008717B6">
        <w:rPr>
          <w:b/>
          <w:bCs/>
        </w:rPr>
        <w:t>Failure:</w:t>
      </w:r>
      <w:r w:rsidRPr="008717B6">
        <w:t xml:space="preserve"> 618 responses</w:t>
      </w:r>
    </w:p>
    <w:p w14:paraId="41AF17E4" w14:textId="77777777" w:rsidR="008717B6" w:rsidRPr="008717B6" w:rsidRDefault="008717B6" w:rsidP="008717B6">
      <w:pPr>
        <w:numPr>
          <w:ilvl w:val="0"/>
          <w:numId w:val="16"/>
        </w:numPr>
      </w:pPr>
      <w:r w:rsidRPr="008717B6">
        <w:rPr>
          <w:b/>
          <w:bCs/>
        </w:rPr>
        <w:t>Other:</w:t>
      </w:r>
      <w:r w:rsidRPr="008717B6">
        <w:t xml:space="preserve"> 307 responses</w:t>
      </w:r>
    </w:p>
    <w:p w14:paraId="7534582C" w14:textId="77777777" w:rsidR="008717B6" w:rsidRPr="008717B6" w:rsidRDefault="008717B6" w:rsidP="008717B6">
      <w:r w:rsidRPr="008717B6">
        <w:rPr>
          <w:b/>
          <w:bCs/>
        </w:rPr>
        <w:t>Insight:</w:t>
      </w:r>
    </w:p>
    <w:p w14:paraId="742781B9" w14:textId="77777777" w:rsidR="008717B6" w:rsidRPr="008717B6" w:rsidRDefault="008717B6" w:rsidP="008717B6">
      <w:pPr>
        <w:numPr>
          <w:ilvl w:val="0"/>
          <w:numId w:val="17"/>
        </w:numPr>
      </w:pPr>
      <w:r w:rsidRPr="008717B6">
        <w:lastRenderedPageBreak/>
        <w:t>The majority of positive responses came from the "Unknown" category, indicating that many of these individuals were new to the bank’s outreach. However, prior success also contributed significantly to the positive responses.</w:t>
      </w:r>
    </w:p>
    <w:p w14:paraId="2AA88C39" w14:textId="7F9892B8" w:rsidR="008717B6" w:rsidRPr="008717B6" w:rsidRDefault="008717B6" w:rsidP="008717B6">
      <w:pPr>
        <w:rPr>
          <w:b/>
          <w:bCs/>
          <w:sz w:val="28"/>
          <w:szCs w:val="28"/>
        </w:rPr>
      </w:pPr>
      <w:r w:rsidRPr="008717B6">
        <w:rPr>
          <w:b/>
          <w:bCs/>
          <w:sz w:val="28"/>
          <w:szCs w:val="28"/>
        </w:rPr>
        <w:t>8. BREAKDOWN BY CAMPAIGN</w:t>
      </w:r>
    </w:p>
    <w:p w14:paraId="1F181D7B" w14:textId="77777777" w:rsidR="008717B6" w:rsidRPr="008717B6" w:rsidRDefault="008717B6" w:rsidP="008717B6">
      <w:r w:rsidRPr="008717B6">
        <w:t>The number of "Yes" responses by campaign:</w:t>
      </w:r>
    </w:p>
    <w:p w14:paraId="7B2FC90D" w14:textId="77777777" w:rsidR="008717B6" w:rsidRPr="008717B6" w:rsidRDefault="008717B6" w:rsidP="008717B6">
      <w:pPr>
        <w:numPr>
          <w:ilvl w:val="0"/>
          <w:numId w:val="18"/>
        </w:numPr>
      </w:pPr>
      <w:r w:rsidRPr="008717B6">
        <w:rPr>
          <w:b/>
          <w:bCs/>
        </w:rPr>
        <w:t>Campaign 1:</w:t>
      </w:r>
      <w:r w:rsidRPr="008717B6">
        <w:t xml:space="preserve"> 2,561 responses (dominates the success rate)</w:t>
      </w:r>
    </w:p>
    <w:p w14:paraId="734101F6" w14:textId="77777777" w:rsidR="008717B6" w:rsidRPr="008717B6" w:rsidRDefault="008717B6" w:rsidP="008717B6">
      <w:pPr>
        <w:numPr>
          <w:ilvl w:val="0"/>
          <w:numId w:val="18"/>
        </w:numPr>
      </w:pPr>
      <w:r w:rsidRPr="008717B6">
        <w:rPr>
          <w:b/>
          <w:bCs/>
        </w:rPr>
        <w:t>Campaign 2:</w:t>
      </w:r>
      <w:r w:rsidRPr="008717B6">
        <w:t xml:space="preserve"> 1,401 responses</w:t>
      </w:r>
    </w:p>
    <w:p w14:paraId="1FF53F84" w14:textId="77777777" w:rsidR="008717B6" w:rsidRPr="008717B6" w:rsidRDefault="008717B6" w:rsidP="008717B6">
      <w:pPr>
        <w:numPr>
          <w:ilvl w:val="0"/>
          <w:numId w:val="18"/>
        </w:numPr>
      </w:pPr>
      <w:r w:rsidRPr="008717B6">
        <w:rPr>
          <w:b/>
          <w:bCs/>
        </w:rPr>
        <w:t>Campaign 3:</w:t>
      </w:r>
      <w:r w:rsidRPr="008717B6">
        <w:t xml:space="preserve"> 618 responses</w:t>
      </w:r>
    </w:p>
    <w:p w14:paraId="1E927C41" w14:textId="77777777" w:rsidR="008717B6" w:rsidRPr="008717B6" w:rsidRDefault="008717B6" w:rsidP="008717B6">
      <w:pPr>
        <w:numPr>
          <w:ilvl w:val="0"/>
          <w:numId w:val="18"/>
        </w:numPr>
      </w:pPr>
      <w:r w:rsidRPr="008717B6">
        <w:rPr>
          <w:b/>
          <w:bCs/>
        </w:rPr>
        <w:t>Other campaigns</w:t>
      </w:r>
      <w:r w:rsidRPr="008717B6">
        <w:t xml:space="preserve"> have significantly fewer responses, with Campaigns 20, 21, etc., having only 1 response each.</w:t>
      </w:r>
    </w:p>
    <w:p w14:paraId="74B58028" w14:textId="77777777" w:rsidR="008717B6" w:rsidRPr="008717B6" w:rsidRDefault="008717B6" w:rsidP="008717B6">
      <w:r w:rsidRPr="008717B6">
        <w:rPr>
          <w:b/>
          <w:bCs/>
        </w:rPr>
        <w:t>Insight:</w:t>
      </w:r>
    </w:p>
    <w:p w14:paraId="720287B9" w14:textId="77777777" w:rsidR="008717B6" w:rsidRPr="008717B6" w:rsidRDefault="008717B6" w:rsidP="008717B6">
      <w:pPr>
        <w:numPr>
          <w:ilvl w:val="0"/>
          <w:numId w:val="19"/>
        </w:numPr>
      </w:pPr>
      <w:r w:rsidRPr="008717B6">
        <w:rPr>
          <w:b/>
          <w:bCs/>
        </w:rPr>
        <w:t>Campaign 1</w:t>
      </w:r>
      <w:r w:rsidRPr="008717B6">
        <w:t xml:space="preserve"> performed significantly better than the others. Subsequent campaigns show diminishing returns, which may suggest that they either lacked effectiveness or failed to resonate with the target audience.</w:t>
      </w:r>
    </w:p>
    <w:p w14:paraId="661DB486" w14:textId="2F6135EA" w:rsidR="008717B6" w:rsidRPr="008717B6" w:rsidRDefault="008717B6" w:rsidP="008717B6">
      <w:pPr>
        <w:rPr>
          <w:b/>
          <w:bCs/>
          <w:sz w:val="28"/>
          <w:szCs w:val="28"/>
        </w:rPr>
      </w:pPr>
      <w:r w:rsidRPr="008717B6">
        <w:rPr>
          <w:b/>
          <w:bCs/>
          <w:sz w:val="28"/>
          <w:szCs w:val="28"/>
        </w:rPr>
        <w:t>9. BREAKDOWN BY MONTH</w:t>
      </w:r>
    </w:p>
    <w:p w14:paraId="1CA35D50" w14:textId="77777777" w:rsidR="008717B6" w:rsidRPr="008717B6" w:rsidRDefault="008717B6" w:rsidP="008717B6">
      <w:r w:rsidRPr="008717B6">
        <w:t>The number of "Yes" responses by month:</w:t>
      </w:r>
    </w:p>
    <w:p w14:paraId="423F775E" w14:textId="77777777" w:rsidR="008717B6" w:rsidRPr="008717B6" w:rsidRDefault="008717B6" w:rsidP="008717B6">
      <w:pPr>
        <w:numPr>
          <w:ilvl w:val="0"/>
          <w:numId w:val="20"/>
        </w:numPr>
      </w:pPr>
      <w:r w:rsidRPr="008717B6">
        <w:rPr>
          <w:b/>
          <w:bCs/>
        </w:rPr>
        <w:t>May:</w:t>
      </w:r>
      <w:r w:rsidRPr="008717B6">
        <w:t xml:space="preserve"> 925 responses</w:t>
      </w:r>
    </w:p>
    <w:p w14:paraId="17D3188F" w14:textId="77777777" w:rsidR="008717B6" w:rsidRPr="008717B6" w:rsidRDefault="008717B6" w:rsidP="008717B6">
      <w:pPr>
        <w:numPr>
          <w:ilvl w:val="0"/>
          <w:numId w:val="20"/>
        </w:numPr>
      </w:pPr>
      <w:r w:rsidRPr="008717B6">
        <w:rPr>
          <w:b/>
          <w:bCs/>
        </w:rPr>
        <w:t>August:</w:t>
      </w:r>
      <w:r w:rsidRPr="008717B6">
        <w:t xml:space="preserve"> 688 responses</w:t>
      </w:r>
    </w:p>
    <w:p w14:paraId="1861DD66" w14:textId="77777777" w:rsidR="008717B6" w:rsidRPr="008717B6" w:rsidRDefault="008717B6" w:rsidP="008717B6">
      <w:pPr>
        <w:numPr>
          <w:ilvl w:val="0"/>
          <w:numId w:val="20"/>
        </w:numPr>
      </w:pPr>
      <w:r w:rsidRPr="008717B6">
        <w:rPr>
          <w:b/>
          <w:bCs/>
        </w:rPr>
        <w:t>July:</w:t>
      </w:r>
      <w:r w:rsidRPr="008717B6">
        <w:t xml:space="preserve"> 627 responses</w:t>
      </w:r>
    </w:p>
    <w:p w14:paraId="7D775569" w14:textId="77777777" w:rsidR="008717B6" w:rsidRPr="008717B6" w:rsidRDefault="008717B6" w:rsidP="008717B6">
      <w:pPr>
        <w:numPr>
          <w:ilvl w:val="0"/>
          <w:numId w:val="20"/>
        </w:numPr>
      </w:pPr>
      <w:r w:rsidRPr="008717B6">
        <w:rPr>
          <w:b/>
          <w:bCs/>
        </w:rPr>
        <w:t>April:</w:t>
      </w:r>
      <w:r w:rsidRPr="008717B6">
        <w:t xml:space="preserve"> 577 responses</w:t>
      </w:r>
    </w:p>
    <w:p w14:paraId="6614A8A9" w14:textId="77777777" w:rsidR="008717B6" w:rsidRPr="008717B6" w:rsidRDefault="008717B6" w:rsidP="008717B6">
      <w:pPr>
        <w:numPr>
          <w:ilvl w:val="0"/>
          <w:numId w:val="20"/>
        </w:numPr>
      </w:pPr>
      <w:r w:rsidRPr="008717B6">
        <w:rPr>
          <w:b/>
          <w:bCs/>
        </w:rPr>
        <w:t>June:</w:t>
      </w:r>
      <w:r w:rsidRPr="008717B6">
        <w:t xml:space="preserve"> 546 responses</w:t>
      </w:r>
    </w:p>
    <w:p w14:paraId="41973DA0" w14:textId="77777777" w:rsidR="008717B6" w:rsidRPr="008717B6" w:rsidRDefault="008717B6" w:rsidP="008717B6">
      <w:pPr>
        <w:numPr>
          <w:ilvl w:val="0"/>
          <w:numId w:val="20"/>
        </w:numPr>
      </w:pPr>
      <w:r w:rsidRPr="008717B6">
        <w:t xml:space="preserve">Other months had fewer responses, with </w:t>
      </w:r>
      <w:r w:rsidRPr="008717B6">
        <w:rPr>
          <w:b/>
          <w:bCs/>
        </w:rPr>
        <w:t>December</w:t>
      </w:r>
      <w:r w:rsidRPr="008717B6">
        <w:t xml:space="preserve"> showing the lowest (100 responses).</w:t>
      </w:r>
    </w:p>
    <w:p w14:paraId="622401FC" w14:textId="77777777" w:rsidR="008717B6" w:rsidRPr="008717B6" w:rsidRDefault="008717B6" w:rsidP="008717B6">
      <w:r w:rsidRPr="008717B6">
        <w:rPr>
          <w:b/>
          <w:bCs/>
        </w:rPr>
        <w:t>Insight:</w:t>
      </w:r>
    </w:p>
    <w:p w14:paraId="1A6CF8BD" w14:textId="77777777" w:rsidR="008717B6" w:rsidRPr="008717B6" w:rsidRDefault="008717B6" w:rsidP="008717B6">
      <w:pPr>
        <w:numPr>
          <w:ilvl w:val="0"/>
          <w:numId w:val="21"/>
        </w:numPr>
      </w:pPr>
      <w:r w:rsidRPr="008717B6">
        <w:t>May, August, and July saw the highest engagement, while December had the lowest number of responses. This could be due to reduced activity or focus on the campaign during the end-of-year period.</w:t>
      </w:r>
    </w:p>
    <w:p w14:paraId="618F3C7B" w14:textId="77777777" w:rsidR="008717B6" w:rsidRPr="008717B6" w:rsidRDefault="008717B6" w:rsidP="008717B6">
      <w:r w:rsidRPr="008717B6">
        <w:pict w14:anchorId="50FCD5AC">
          <v:rect id="_x0000_i1038" style="width:0;height:1.5pt" o:hralign="center" o:hrstd="t" o:hr="t" fillcolor="#a0a0a0" stroked="f"/>
        </w:pict>
      </w:r>
    </w:p>
    <w:p w14:paraId="4F102202" w14:textId="55808AFE" w:rsidR="008717B6" w:rsidRPr="008717B6" w:rsidRDefault="008717B6" w:rsidP="008717B6">
      <w:pPr>
        <w:rPr>
          <w:b/>
          <w:bCs/>
          <w:sz w:val="28"/>
          <w:szCs w:val="28"/>
        </w:rPr>
      </w:pPr>
      <w:r w:rsidRPr="008717B6">
        <w:rPr>
          <w:b/>
          <w:bCs/>
          <w:sz w:val="28"/>
          <w:szCs w:val="28"/>
        </w:rPr>
        <w:lastRenderedPageBreak/>
        <w:t>CONCLUSION AND RECOMMENDATIONS</w:t>
      </w:r>
    </w:p>
    <w:p w14:paraId="38F59313" w14:textId="77777777" w:rsidR="008717B6" w:rsidRPr="008717B6" w:rsidRDefault="008717B6" w:rsidP="008717B6">
      <w:pPr>
        <w:numPr>
          <w:ilvl w:val="0"/>
          <w:numId w:val="22"/>
        </w:numPr>
      </w:pPr>
      <w:r w:rsidRPr="008717B6">
        <w:rPr>
          <w:b/>
          <w:bCs/>
        </w:rPr>
        <w:t>Target High-Engagement Groups:</w:t>
      </w:r>
      <w:r w:rsidRPr="008717B6">
        <w:t xml:space="preserve"> Focus on individuals with higher education and those who are married, particularly in the 36-50 age group, as they show the highest engagement and response rates.</w:t>
      </w:r>
    </w:p>
    <w:p w14:paraId="40180C68" w14:textId="77777777" w:rsidR="008717B6" w:rsidRPr="008717B6" w:rsidRDefault="008717B6" w:rsidP="008717B6">
      <w:pPr>
        <w:numPr>
          <w:ilvl w:val="0"/>
          <w:numId w:val="22"/>
        </w:numPr>
      </w:pPr>
      <w:r w:rsidRPr="008717B6">
        <w:rPr>
          <w:b/>
          <w:bCs/>
        </w:rPr>
        <w:t>Leverage Longer Interactions:</w:t>
      </w:r>
      <w:r w:rsidRPr="008717B6">
        <w:t xml:space="preserve"> As longer engagements are correlated with positive responses, the bank should optimize communication strategies to encourage more in-depth interactions with potential customers.</w:t>
      </w:r>
    </w:p>
    <w:p w14:paraId="75A0B6B6" w14:textId="77777777" w:rsidR="008717B6" w:rsidRPr="008717B6" w:rsidRDefault="008717B6" w:rsidP="008717B6">
      <w:pPr>
        <w:numPr>
          <w:ilvl w:val="0"/>
          <w:numId w:val="22"/>
        </w:numPr>
      </w:pPr>
      <w:r w:rsidRPr="008717B6">
        <w:rPr>
          <w:b/>
          <w:bCs/>
        </w:rPr>
        <w:t>Optimize Campaign Strategy:</w:t>
      </w:r>
      <w:r w:rsidRPr="008717B6">
        <w:t xml:space="preserve"> Campaign 1 performed the best, and it is recommended to analyze its elements (e.g., content, timing, targeting) and replicate those strategies in future campaigns. The subsequent campaigns need review to identify why they did not perform as well.</w:t>
      </w:r>
    </w:p>
    <w:p w14:paraId="318E6884" w14:textId="77777777" w:rsidR="008717B6" w:rsidRPr="008717B6" w:rsidRDefault="008717B6" w:rsidP="008717B6">
      <w:pPr>
        <w:numPr>
          <w:ilvl w:val="0"/>
          <w:numId w:val="22"/>
        </w:numPr>
      </w:pPr>
      <w:r w:rsidRPr="008717B6">
        <w:rPr>
          <w:b/>
          <w:bCs/>
        </w:rPr>
        <w:t>Seasonal Strategy:</w:t>
      </w:r>
      <w:r w:rsidRPr="008717B6">
        <w:t xml:space="preserve"> The months with the highest responses (May, August, July) should be leveraged more, while December and other slower months could benefit from targeted campaigns to maintain interest.</w:t>
      </w:r>
    </w:p>
    <w:p w14:paraId="28689C55" w14:textId="3E7085A1" w:rsidR="00E01B25" w:rsidRPr="00633502" w:rsidRDefault="00E01B25" w:rsidP="008717B6">
      <w:r>
        <w:t xml:space="preserve"> </w:t>
      </w:r>
    </w:p>
    <w:sectPr w:rsidR="00E01B25" w:rsidRPr="00633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24386"/>
    <w:multiLevelType w:val="multilevel"/>
    <w:tmpl w:val="506E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A64DA"/>
    <w:multiLevelType w:val="multilevel"/>
    <w:tmpl w:val="B1B6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C21F1"/>
    <w:multiLevelType w:val="multilevel"/>
    <w:tmpl w:val="843C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C5A50"/>
    <w:multiLevelType w:val="hybridMultilevel"/>
    <w:tmpl w:val="8A846CDE"/>
    <w:lvl w:ilvl="0" w:tplc="2FA4F13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5F3CD9"/>
    <w:multiLevelType w:val="hybridMultilevel"/>
    <w:tmpl w:val="89CE21E8"/>
    <w:lvl w:ilvl="0" w:tplc="DAA808F2">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C6B5F"/>
    <w:multiLevelType w:val="multilevel"/>
    <w:tmpl w:val="EEE4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20562"/>
    <w:multiLevelType w:val="multilevel"/>
    <w:tmpl w:val="83B8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D682D"/>
    <w:multiLevelType w:val="multilevel"/>
    <w:tmpl w:val="C594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D172A"/>
    <w:multiLevelType w:val="multilevel"/>
    <w:tmpl w:val="9B5E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E4C84"/>
    <w:multiLevelType w:val="hybridMultilevel"/>
    <w:tmpl w:val="8A1A6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FC26D3"/>
    <w:multiLevelType w:val="hybridMultilevel"/>
    <w:tmpl w:val="68E47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B2AC7"/>
    <w:multiLevelType w:val="multilevel"/>
    <w:tmpl w:val="BF40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DE67D0"/>
    <w:multiLevelType w:val="multilevel"/>
    <w:tmpl w:val="C61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7D2D22"/>
    <w:multiLevelType w:val="multilevel"/>
    <w:tmpl w:val="54280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3D46AC"/>
    <w:multiLevelType w:val="multilevel"/>
    <w:tmpl w:val="DB80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E27459"/>
    <w:multiLevelType w:val="multilevel"/>
    <w:tmpl w:val="8A16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01FF9"/>
    <w:multiLevelType w:val="multilevel"/>
    <w:tmpl w:val="9566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A7585"/>
    <w:multiLevelType w:val="multilevel"/>
    <w:tmpl w:val="A3BC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CC5695"/>
    <w:multiLevelType w:val="multilevel"/>
    <w:tmpl w:val="BE5A0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695351"/>
    <w:multiLevelType w:val="multilevel"/>
    <w:tmpl w:val="2AD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563013"/>
    <w:multiLevelType w:val="multilevel"/>
    <w:tmpl w:val="0176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EA7DB0"/>
    <w:multiLevelType w:val="multilevel"/>
    <w:tmpl w:val="24FE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264803">
    <w:abstractNumId w:val="10"/>
  </w:num>
  <w:num w:numId="2" w16cid:durableId="585188901">
    <w:abstractNumId w:val="9"/>
  </w:num>
  <w:num w:numId="3" w16cid:durableId="859004747">
    <w:abstractNumId w:val="3"/>
  </w:num>
  <w:num w:numId="4" w16cid:durableId="1890607760">
    <w:abstractNumId w:val="4"/>
  </w:num>
  <w:num w:numId="5" w16cid:durableId="1580868838">
    <w:abstractNumId w:val="0"/>
  </w:num>
  <w:num w:numId="6" w16cid:durableId="868683175">
    <w:abstractNumId w:val="15"/>
  </w:num>
  <w:num w:numId="7" w16cid:durableId="1270357167">
    <w:abstractNumId w:val="21"/>
  </w:num>
  <w:num w:numId="8" w16cid:durableId="1127774553">
    <w:abstractNumId w:val="8"/>
  </w:num>
  <w:num w:numId="9" w16cid:durableId="1749494422">
    <w:abstractNumId w:val="2"/>
  </w:num>
  <w:num w:numId="10" w16cid:durableId="49575785">
    <w:abstractNumId w:val="17"/>
  </w:num>
  <w:num w:numId="11" w16cid:durableId="1956980961">
    <w:abstractNumId w:val="14"/>
  </w:num>
  <w:num w:numId="12" w16cid:durableId="2106412419">
    <w:abstractNumId w:val="18"/>
  </w:num>
  <w:num w:numId="13" w16cid:durableId="325669994">
    <w:abstractNumId w:val="16"/>
  </w:num>
  <w:num w:numId="14" w16cid:durableId="1624195280">
    <w:abstractNumId w:val="6"/>
  </w:num>
  <w:num w:numId="15" w16cid:durableId="653292037">
    <w:abstractNumId w:val="11"/>
  </w:num>
  <w:num w:numId="16" w16cid:durableId="1035622129">
    <w:abstractNumId w:val="19"/>
  </w:num>
  <w:num w:numId="17" w16cid:durableId="251938389">
    <w:abstractNumId w:val="7"/>
  </w:num>
  <w:num w:numId="18" w16cid:durableId="2132506495">
    <w:abstractNumId w:val="20"/>
  </w:num>
  <w:num w:numId="19" w16cid:durableId="1407338742">
    <w:abstractNumId w:val="1"/>
  </w:num>
  <w:num w:numId="20" w16cid:durableId="586963454">
    <w:abstractNumId w:val="12"/>
  </w:num>
  <w:num w:numId="21" w16cid:durableId="1137071804">
    <w:abstractNumId w:val="5"/>
  </w:num>
  <w:num w:numId="22" w16cid:durableId="10639929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02"/>
    <w:rsid w:val="000540C6"/>
    <w:rsid w:val="00633502"/>
    <w:rsid w:val="008717B6"/>
    <w:rsid w:val="00D87BFA"/>
    <w:rsid w:val="00E01B25"/>
    <w:rsid w:val="00EE1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F4C5"/>
  <w15:chartTrackingRefBased/>
  <w15:docId w15:val="{DF7BEAC8-5416-4E69-AEF3-35B3EF61F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5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5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5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5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5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5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5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5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5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5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5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5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5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5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5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5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5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502"/>
    <w:rPr>
      <w:rFonts w:eastAsiaTheme="majorEastAsia" w:cstheme="majorBidi"/>
      <w:color w:val="272727" w:themeColor="text1" w:themeTint="D8"/>
    </w:rPr>
  </w:style>
  <w:style w:type="paragraph" w:styleId="Title">
    <w:name w:val="Title"/>
    <w:basedOn w:val="Normal"/>
    <w:next w:val="Normal"/>
    <w:link w:val="TitleChar"/>
    <w:uiPriority w:val="10"/>
    <w:qFormat/>
    <w:rsid w:val="006335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5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5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5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502"/>
    <w:pPr>
      <w:spacing w:before="160"/>
      <w:jc w:val="center"/>
    </w:pPr>
    <w:rPr>
      <w:i/>
      <w:iCs/>
      <w:color w:val="404040" w:themeColor="text1" w:themeTint="BF"/>
    </w:rPr>
  </w:style>
  <w:style w:type="character" w:customStyle="1" w:styleId="QuoteChar">
    <w:name w:val="Quote Char"/>
    <w:basedOn w:val="DefaultParagraphFont"/>
    <w:link w:val="Quote"/>
    <w:uiPriority w:val="29"/>
    <w:rsid w:val="00633502"/>
    <w:rPr>
      <w:i/>
      <w:iCs/>
      <w:color w:val="404040" w:themeColor="text1" w:themeTint="BF"/>
    </w:rPr>
  </w:style>
  <w:style w:type="paragraph" w:styleId="ListParagraph">
    <w:name w:val="List Paragraph"/>
    <w:basedOn w:val="Normal"/>
    <w:uiPriority w:val="34"/>
    <w:qFormat/>
    <w:rsid w:val="00633502"/>
    <w:pPr>
      <w:ind w:left="720"/>
      <w:contextualSpacing/>
    </w:pPr>
  </w:style>
  <w:style w:type="character" w:styleId="IntenseEmphasis">
    <w:name w:val="Intense Emphasis"/>
    <w:basedOn w:val="DefaultParagraphFont"/>
    <w:uiPriority w:val="21"/>
    <w:qFormat/>
    <w:rsid w:val="00633502"/>
    <w:rPr>
      <w:i/>
      <w:iCs/>
      <w:color w:val="0F4761" w:themeColor="accent1" w:themeShade="BF"/>
    </w:rPr>
  </w:style>
  <w:style w:type="paragraph" w:styleId="IntenseQuote">
    <w:name w:val="Intense Quote"/>
    <w:basedOn w:val="Normal"/>
    <w:next w:val="Normal"/>
    <w:link w:val="IntenseQuoteChar"/>
    <w:uiPriority w:val="30"/>
    <w:qFormat/>
    <w:rsid w:val="006335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502"/>
    <w:rPr>
      <w:i/>
      <w:iCs/>
      <w:color w:val="0F4761" w:themeColor="accent1" w:themeShade="BF"/>
    </w:rPr>
  </w:style>
  <w:style w:type="character" w:styleId="IntenseReference">
    <w:name w:val="Intense Reference"/>
    <w:basedOn w:val="DefaultParagraphFont"/>
    <w:uiPriority w:val="32"/>
    <w:qFormat/>
    <w:rsid w:val="006335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243206">
      <w:bodyDiv w:val="1"/>
      <w:marLeft w:val="0"/>
      <w:marRight w:val="0"/>
      <w:marTop w:val="0"/>
      <w:marBottom w:val="0"/>
      <w:divBdr>
        <w:top w:val="none" w:sz="0" w:space="0" w:color="auto"/>
        <w:left w:val="none" w:sz="0" w:space="0" w:color="auto"/>
        <w:bottom w:val="none" w:sz="0" w:space="0" w:color="auto"/>
        <w:right w:val="none" w:sz="0" w:space="0" w:color="auto"/>
      </w:divBdr>
    </w:div>
    <w:div w:id="200870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 Thanh Tu</dc:creator>
  <cp:keywords/>
  <dc:description/>
  <cp:lastModifiedBy>Truong Nguyen Thanh Tu</cp:lastModifiedBy>
  <cp:revision>2</cp:revision>
  <dcterms:created xsi:type="dcterms:W3CDTF">2024-12-24T12:43:00Z</dcterms:created>
  <dcterms:modified xsi:type="dcterms:W3CDTF">2024-12-25T07:45:00Z</dcterms:modified>
</cp:coreProperties>
</file>