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CBED2" w14:textId="464F0F3F" w:rsidR="00A2441C" w:rsidRPr="00760B07" w:rsidRDefault="00760B07" w:rsidP="00760B07">
      <w:pPr>
        <w:jc w:val="center"/>
        <w:rPr>
          <w:b/>
          <w:bCs/>
          <w:sz w:val="40"/>
          <w:szCs w:val="40"/>
        </w:rPr>
      </w:pPr>
      <w:r w:rsidRPr="00A2441C">
        <w:rPr>
          <w:b/>
          <w:bCs/>
          <w:sz w:val="40"/>
          <w:szCs w:val="40"/>
        </w:rPr>
        <w:t>DATA ANALYSIS REPORT ON STUDENT PERFORMANCE</w:t>
      </w:r>
      <w:r w:rsidRPr="00760B07">
        <w:rPr>
          <w:b/>
          <w:bCs/>
          <w:sz w:val="40"/>
          <w:szCs w:val="40"/>
        </w:rPr>
        <w:t xml:space="preserve"> FACTORS</w:t>
      </w:r>
    </w:p>
    <w:p w14:paraId="6C613B24" w14:textId="0FCD7560" w:rsidR="00760B07" w:rsidRPr="00A2441C" w:rsidRDefault="00760B07" w:rsidP="00A2441C">
      <w:pPr>
        <w:rPr>
          <w:b/>
          <w:bCs/>
        </w:rPr>
      </w:pPr>
      <w:r>
        <w:pict w14:anchorId="6926C7D7">
          <v:rect id="_x0000_i1041" style="width:0;height:1.5pt" o:hralign="center" o:hrstd="t" o:hr="t" fillcolor="#a0a0a0" stroked="f"/>
        </w:pict>
      </w:r>
    </w:p>
    <w:p w14:paraId="1A315057" w14:textId="65DBD9A3" w:rsidR="00A2441C" w:rsidRPr="00A2441C" w:rsidRDefault="00760B07" w:rsidP="00A2441C">
      <w:pPr>
        <w:rPr>
          <w:b/>
          <w:bCs/>
          <w:sz w:val="28"/>
          <w:szCs w:val="28"/>
        </w:rPr>
      </w:pPr>
      <w:r w:rsidRPr="00A2441C">
        <w:rPr>
          <w:b/>
          <w:bCs/>
          <w:sz w:val="28"/>
          <w:szCs w:val="28"/>
        </w:rPr>
        <w:t>1. OVERVIEW OF DATA</w:t>
      </w:r>
    </w:p>
    <w:p w14:paraId="70E3C91B" w14:textId="77777777" w:rsidR="00A2441C" w:rsidRPr="00A2441C" w:rsidRDefault="00A2441C" w:rsidP="00A2441C">
      <w:pPr>
        <w:numPr>
          <w:ilvl w:val="0"/>
          <w:numId w:val="15"/>
        </w:numPr>
      </w:pPr>
      <w:r w:rsidRPr="00A2441C">
        <w:rPr>
          <w:b/>
          <w:bCs/>
        </w:rPr>
        <w:t>Average Score:</w:t>
      </w:r>
      <w:r w:rsidRPr="00A2441C">
        <w:t xml:space="preserve"> 67.24</w:t>
      </w:r>
    </w:p>
    <w:p w14:paraId="6DA71727" w14:textId="77777777" w:rsidR="00A2441C" w:rsidRPr="00A2441C" w:rsidRDefault="00A2441C" w:rsidP="00A2441C">
      <w:pPr>
        <w:numPr>
          <w:ilvl w:val="0"/>
          <w:numId w:val="15"/>
        </w:numPr>
      </w:pPr>
      <w:r w:rsidRPr="00A2441C">
        <w:rPr>
          <w:b/>
          <w:bCs/>
        </w:rPr>
        <w:t>Pass Rate:</w:t>
      </w:r>
      <w:r w:rsidRPr="00A2441C">
        <w:t xml:space="preserve"> 25% (0.25)</w:t>
      </w:r>
    </w:p>
    <w:p w14:paraId="3E30273B" w14:textId="77777777" w:rsidR="00A2441C" w:rsidRDefault="00A2441C" w:rsidP="00A2441C">
      <w:r w:rsidRPr="00A2441C">
        <w:t>This dataset describes student performance, including exam scores, parental involvement, and factors influencing academic outcomes such as study hours and sleep. Overall, the average score is 67.24, and the pass rate is 25%, indicating that a significant portion of students did not achieve good results.</w:t>
      </w:r>
    </w:p>
    <w:p w14:paraId="5BEA093D" w14:textId="5F74D08F" w:rsidR="00760B07" w:rsidRPr="00A2441C" w:rsidRDefault="00760B07" w:rsidP="00A2441C">
      <w:r>
        <w:pict w14:anchorId="3C713E6E">
          <v:rect id="_x0000_i1042" style="width:0;height:1.5pt" o:hralign="center" o:hrstd="t" o:hr="t" fillcolor="#a0a0a0" stroked="f"/>
        </w:pict>
      </w:r>
    </w:p>
    <w:p w14:paraId="585DEA35" w14:textId="21AD01EC" w:rsidR="00A2441C" w:rsidRPr="00A2441C" w:rsidRDefault="00760B07" w:rsidP="00A2441C">
      <w:pPr>
        <w:rPr>
          <w:b/>
          <w:bCs/>
          <w:sz w:val="28"/>
          <w:szCs w:val="28"/>
        </w:rPr>
      </w:pPr>
      <w:r w:rsidRPr="00A2441C">
        <w:rPr>
          <w:b/>
          <w:bCs/>
          <w:sz w:val="28"/>
          <w:szCs w:val="28"/>
        </w:rPr>
        <w:t>2. ANALYSIS BY SCHOOL TYPE</w:t>
      </w:r>
    </w:p>
    <w:p w14:paraId="25EEE30D" w14:textId="77777777" w:rsidR="00A2441C" w:rsidRPr="00A2441C" w:rsidRDefault="00A2441C" w:rsidP="00A2441C">
      <w:r w:rsidRPr="00A2441C">
        <w:t>The pie chart showing the distribution of students by school type reveals:</w:t>
      </w:r>
    </w:p>
    <w:p w14:paraId="58891D7F" w14:textId="77777777" w:rsidR="00A2441C" w:rsidRPr="00A2441C" w:rsidRDefault="00A2441C" w:rsidP="00A2441C">
      <w:pPr>
        <w:numPr>
          <w:ilvl w:val="0"/>
          <w:numId w:val="16"/>
        </w:numPr>
      </w:pPr>
      <w:r w:rsidRPr="00A2441C">
        <w:rPr>
          <w:b/>
          <w:bCs/>
        </w:rPr>
        <w:t>Public Schools:</w:t>
      </w:r>
      <w:r w:rsidRPr="00A2441C">
        <w:t xml:space="preserve"> 2.01K students (30.41%)</w:t>
      </w:r>
    </w:p>
    <w:p w14:paraId="1F3D7EAF" w14:textId="77777777" w:rsidR="00A2441C" w:rsidRPr="00A2441C" w:rsidRDefault="00A2441C" w:rsidP="00A2441C">
      <w:pPr>
        <w:numPr>
          <w:ilvl w:val="0"/>
          <w:numId w:val="16"/>
        </w:numPr>
      </w:pPr>
      <w:r w:rsidRPr="00A2441C">
        <w:rPr>
          <w:b/>
          <w:bCs/>
        </w:rPr>
        <w:t>Private Schools:</w:t>
      </w:r>
      <w:r w:rsidRPr="00A2441C">
        <w:t xml:space="preserve"> 4.6K students (69.59%)</w:t>
      </w:r>
    </w:p>
    <w:p w14:paraId="1531C87B" w14:textId="77777777" w:rsidR="00A2441C" w:rsidRDefault="00A2441C" w:rsidP="00A2441C">
      <w:r w:rsidRPr="00A2441C">
        <w:t>This suggests that there are more students in private schools compared to public schools, which could reflect parental preferences and access to educational resources in different school systems.</w:t>
      </w:r>
    </w:p>
    <w:p w14:paraId="708C6E3B" w14:textId="490D0ADD" w:rsidR="00760B07" w:rsidRPr="00A2441C" w:rsidRDefault="00760B07" w:rsidP="00A2441C">
      <w:r>
        <w:pict w14:anchorId="566DB030">
          <v:rect id="_x0000_i1043" style="width:0;height:1.5pt" o:hralign="center" o:hrstd="t" o:hr="t" fillcolor="#a0a0a0" stroked="f"/>
        </w:pict>
      </w:r>
    </w:p>
    <w:p w14:paraId="31E4E669" w14:textId="62C08908" w:rsidR="00A2441C" w:rsidRPr="00A2441C" w:rsidRDefault="00760B07" w:rsidP="00A2441C">
      <w:pPr>
        <w:rPr>
          <w:b/>
          <w:bCs/>
          <w:sz w:val="28"/>
          <w:szCs w:val="28"/>
        </w:rPr>
      </w:pPr>
      <w:r w:rsidRPr="00A2441C">
        <w:rPr>
          <w:b/>
          <w:bCs/>
          <w:sz w:val="28"/>
          <w:szCs w:val="28"/>
        </w:rPr>
        <w:t>3. TOTAL EXAM SCORE BY PARENTAL EDUCATION LEVEL</w:t>
      </w:r>
    </w:p>
    <w:p w14:paraId="356807D0" w14:textId="77777777" w:rsidR="00A2441C" w:rsidRPr="00A2441C" w:rsidRDefault="00A2441C" w:rsidP="00A2441C">
      <w:r w:rsidRPr="00A2441C">
        <w:t>The bar chart summarizes exam scores by parental education level:</w:t>
      </w:r>
    </w:p>
    <w:p w14:paraId="73007CD8" w14:textId="77777777" w:rsidR="00A2441C" w:rsidRPr="00A2441C" w:rsidRDefault="00A2441C" w:rsidP="00A2441C">
      <w:pPr>
        <w:numPr>
          <w:ilvl w:val="0"/>
          <w:numId w:val="17"/>
        </w:numPr>
      </w:pPr>
      <w:r w:rsidRPr="00A2441C">
        <w:rPr>
          <w:b/>
          <w:bCs/>
        </w:rPr>
        <w:t>High School:</w:t>
      </w:r>
      <w:r w:rsidRPr="00A2441C">
        <w:t xml:space="preserve"> 221.63K</w:t>
      </w:r>
    </w:p>
    <w:p w14:paraId="74C252D7" w14:textId="77777777" w:rsidR="00A2441C" w:rsidRPr="00A2441C" w:rsidRDefault="00A2441C" w:rsidP="00A2441C">
      <w:pPr>
        <w:numPr>
          <w:ilvl w:val="0"/>
          <w:numId w:val="17"/>
        </w:numPr>
      </w:pPr>
      <w:r w:rsidRPr="00A2441C">
        <w:rPr>
          <w:b/>
          <w:bCs/>
        </w:rPr>
        <w:t>College:</w:t>
      </w:r>
      <w:r w:rsidRPr="00A2441C">
        <w:t xml:space="preserve"> 133.89K</w:t>
      </w:r>
    </w:p>
    <w:p w14:paraId="5DF1035B" w14:textId="77777777" w:rsidR="00A2441C" w:rsidRPr="00A2441C" w:rsidRDefault="00A2441C" w:rsidP="00A2441C">
      <w:pPr>
        <w:numPr>
          <w:ilvl w:val="0"/>
          <w:numId w:val="17"/>
        </w:numPr>
      </w:pPr>
      <w:r w:rsidRPr="00A2441C">
        <w:rPr>
          <w:b/>
          <w:bCs/>
        </w:rPr>
        <w:t>Postgraduate:</w:t>
      </w:r>
      <w:r w:rsidRPr="00A2441C">
        <w:t xml:space="preserve"> 88.70K</w:t>
      </w:r>
    </w:p>
    <w:p w14:paraId="021AA0A4" w14:textId="77777777" w:rsidR="00A2441C" w:rsidRDefault="00A2441C" w:rsidP="00A2441C">
      <w:r w:rsidRPr="00A2441C">
        <w:t>It is evident that students with parents who have a high school education have the highest total exam scores. As parental education level increases, the total exam score tends to decrease, which could be related to socioeconomic factors or other external influences.</w:t>
      </w:r>
    </w:p>
    <w:p w14:paraId="3CB84BE1" w14:textId="1416016B" w:rsidR="00760B07" w:rsidRPr="00A2441C" w:rsidRDefault="00760B07" w:rsidP="00A2441C">
      <w:r>
        <w:lastRenderedPageBreak/>
        <w:pict w14:anchorId="0543C62B">
          <v:rect id="_x0000_i1044" style="width:0;height:1.5pt" o:hralign="center" o:hrstd="t" o:hr="t" fillcolor="#a0a0a0" stroked="f"/>
        </w:pict>
      </w:r>
    </w:p>
    <w:p w14:paraId="52915A3E" w14:textId="091AE325" w:rsidR="00A2441C" w:rsidRPr="00A2441C" w:rsidRDefault="00760B07" w:rsidP="00A2441C">
      <w:pPr>
        <w:rPr>
          <w:b/>
          <w:bCs/>
          <w:sz w:val="28"/>
          <w:szCs w:val="28"/>
        </w:rPr>
      </w:pPr>
      <w:r w:rsidRPr="00A2441C">
        <w:rPr>
          <w:b/>
          <w:bCs/>
          <w:sz w:val="28"/>
          <w:szCs w:val="28"/>
        </w:rPr>
        <w:t>4. RELATIONSHIP BETWEEN SLEEP HOURS AND EXAM SCORES</w:t>
      </w:r>
    </w:p>
    <w:p w14:paraId="2D3FCBE0" w14:textId="77777777" w:rsidR="00A2441C" w:rsidRPr="00A2441C" w:rsidRDefault="00A2441C" w:rsidP="00A2441C">
      <w:r w:rsidRPr="00A2441C">
        <w:t>The line chart displaying the relationship between sleep hours and exam scores shows:</w:t>
      </w:r>
    </w:p>
    <w:p w14:paraId="037D2892" w14:textId="77777777" w:rsidR="00A2441C" w:rsidRPr="00A2441C" w:rsidRDefault="00A2441C" w:rsidP="00A2441C">
      <w:pPr>
        <w:numPr>
          <w:ilvl w:val="0"/>
          <w:numId w:val="18"/>
        </w:numPr>
      </w:pPr>
      <w:r w:rsidRPr="00A2441C">
        <w:rPr>
          <w:b/>
          <w:bCs/>
        </w:rPr>
        <w:t>4 hours of sleep:</w:t>
      </w:r>
      <w:r w:rsidRPr="00A2441C">
        <w:t xml:space="preserve"> 67.63</w:t>
      </w:r>
    </w:p>
    <w:p w14:paraId="738A147F" w14:textId="77777777" w:rsidR="00A2441C" w:rsidRPr="00A2441C" w:rsidRDefault="00A2441C" w:rsidP="00A2441C">
      <w:pPr>
        <w:numPr>
          <w:ilvl w:val="0"/>
          <w:numId w:val="18"/>
        </w:numPr>
      </w:pPr>
      <w:r w:rsidRPr="00A2441C">
        <w:rPr>
          <w:b/>
          <w:bCs/>
        </w:rPr>
        <w:t>5 hours of sleep:</w:t>
      </w:r>
      <w:r w:rsidRPr="00A2441C">
        <w:t xml:space="preserve"> 67.30</w:t>
      </w:r>
    </w:p>
    <w:p w14:paraId="13413377" w14:textId="77777777" w:rsidR="00A2441C" w:rsidRPr="00A2441C" w:rsidRDefault="00A2441C" w:rsidP="00A2441C">
      <w:pPr>
        <w:numPr>
          <w:ilvl w:val="0"/>
          <w:numId w:val="18"/>
        </w:numPr>
      </w:pPr>
      <w:r w:rsidRPr="00A2441C">
        <w:rPr>
          <w:b/>
          <w:bCs/>
        </w:rPr>
        <w:t>6 hours of sleep:</w:t>
      </w:r>
      <w:r w:rsidRPr="00A2441C">
        <w:t xml:space="preserve"> 67.19</w:t>
      </w:r>
    </w:p>
    <w:p w14:paraId="4760224A" w14:textId="77777777" w:rsidR="00A2441C" w:rsidRPr="00A2441C" w:rsidRDefault="00A2441C" w:rsidP="00A2441C">
      <w:pPr>
        <w:numPr>
          <w:ilvl w:val="0"/>
          <w:numId w:val="18"/>
        </w:numPr>
      </w:pPr>
      <w:r w:rsidRPr="00A2441C">
        <w:rPr>
          <w:b/>
          <w:bCs/>
        </w:rPr>
        <w:t>7 hours of sleep:</w:t>
      </w:r>
      <w:r w:rsidRPr="00A2441C">
        <w:t xml:space="preserve"> 67.24</w:t>
      </w:r>
    </w:p>
    <w:p w14:paraId="4E10445A" w14:textId="77777777" w:rsidR="00A2441C" w:rsidRPr="00A2441C" w:rsidRDefault="00A2441C" w:rsidP="00A2441C">
      <w:pPr>
        <w:numPr>
          <w:ilvl w:val="0"/>
          <w:numId w:val="18"/>
        </w:numPr>
      </w:pPr>
      <w:r w:rsidRPr="00A2441C">
        <w:rPr>
          <w:b/>
          <w:bCs/>
        </w:rPr>
        <w:t>8 hours of sleep:</w:t>
      </w:r>
      <w:r w:rsidRPr="00A2441C">
        <w:t xml:space="preserve"> 67.22</w:t>
      </w:r>
    </w:p>
    <w:p w14:paraId="611B17DF" w14:textId="77777777" w:rsidR="00A2441C" w:rsidRPr="00A2441C" w:rsidRDefault="00A2441C" w:rsidP="00A2441C">
      <w:pPr>
        <w:numPr>
          <w:ilvl w:val="0"/>
          <w:numId w:val="18"/>
        </w:numPr>
      </w:pPr>
      <w:r w:rsidRPr="00A2441C">
        <w:rPr>
          <w:b/>
          <w:bCs/>
        </w:rPr>
        <w:t>9 hours of sleep:</w:t>
      </w:r>
      <w:r w:rsidRPr="00A2441C">
        <w:t xml:space="preserve"> 67.15</w:t>
      </w:r>
    </w:p>
    <w:p w14:paraId="676FA46B" w14:textId="77777777" w:rsidR="00A2441C" w:rsidRPr="00A2441C" w:rsidRDefault="00A2441C" w:rsidP="00A2441C">
      <w:pPr>
        <w:numPr>
          <w:ilvl w:val="0"/>
          <w:numId w:val="18"/>
        </w:numPr>
      </w:pPr>
      <w:r w:rsidRPr="00A2441C">
        <w:rPr>
          <w:b/>
          <w:bCs/>
        </w:rPr>
        <w:t>10 hours of sleep:</w:t>
      </w:r>
      <w:r w:rsidRPr="00A2441C">
        <w:t xml:space="preserve"> 67.14</w:t>
      </w:r>
    </w:p>
    <w:p w14:paraId="410397FB" w14:textId="77777777" w:rsidR="00A2441C" w:rsidRDefault="00A2441C" w:rsidP="00A2441C">
      <w:r w:rsidRPr="00A2441C">
        <w:t>There is no significant variation in exam scores based on the number of hours slept, suggesting that sleep duration within the range of 4 to 10 hours does not greatly impact exam performance. However, the quality of sleep and other factors like health and psychological well-being could still play a role.</w:t>
      </w:r>
    </w:p>
    <w:p w14:paraId="7B00624E" w14:textId="13626A07" w:rsidR="00760B07" w:rsidRPr="00A2441C" w:rsidRDefault="00760B07" w:rsidP="00A2441C">
      <w:r>
        <w:pict w14:anchorId="58C8333C">
          <v:rect id="_x0000_i1045" style="width:0;height:1.5pt" o:hralign="center" o:hrstd="t" o:hr="t" fillcolor="#a0a0a0" stroked="f"/>
        </w:pict>
      </w:r>
    </w:p>
    <w:p w14:paraId="41EA3C5E" w14:textId="0507EF68" w:rsidR="00A2441C" w:rsidRPr="00A2441C" w:rsidRDefault="00760B07" w:rsidP="00A2441C">
      <w:pPr>
        <w:rPr>
          <w:b/>
          <w:bCs/>
          <w:sz w:val="28"/>
          <w:szCs w:val="28"/>
        </w:rPr>
      </w:pPr>
      <w:r w:rsidRPr="00A2441C">
        <w:rPr>
          <w:b/>
          <w:bCs/>
          <w:sz w:val="28"/>
          <w:szCs w:val="28"/>
        </w:rPr>
        <w:t>5. SCATTER PLOT ANALYSIS: HOURS STUDIED AND EXAM SCORES</w:t>
      </w:r>
    </w:p>
    <w:p w14:paraId="521AC73A" w14:textId="77777777" w:rsidR="00A2441C" w:rsidRPr="00A2441C" w:rsidRDefault="00A2441C" w:rsidP="00A2441C">
      <w:r w:rsidRPr="00A2441C">
        <w:t>The scatter plot illustrates the relationship between study hours and exam scores:</w:t>
      </w:r>
    </w:p>
    <w:p w14:paraId="6859D72E" w14:textId="77777777" w:rsidR="00A2441C" w:rsidRPr="00A2441C" w:rsidRDefault="00A2441C" w:rsidP="00A2441C">
      <w:pPr>
        <w:numPr>
          <w:ilvl w:val="0"/>
          <w:numId w:val="19"/>
        </w:numPr>
      </w:pPr>
      <w:r w:rsidRPr="00A2441C">
        <w:rPr>
          <w:b/>
          <w:bCs/>
        </w:rPr>
        <w:t>Trend:</w:t>
      </w:r>
      <w:r w:rsidRPr="00A2441C">
        <w:t xml:space="preserve"> A positive linear relationship is evident, indicating that as study hours increase, exam scores tend to improve.</w:t>
      </w:r>
    </w:p>
    <w:p w14:paraId="59A0FB1E" w14:textId="77777777" w:rsidR="00A2441C" w:rsidRPr="00A2441C" w:rsidRDefault="00A2441C" w:rsidP="00A2441C">
      <w:pPr>
        <w:numPr>
          <w:ilvl w:val="0"/>
          <w:numId w:val="19"/>
        </w:numPr>
      </w:pPr>
      <w:r w:rsidRPr="00A2441C">
        <w:rPr>
          <w:b/>
          <w:bCs/>
        </w:rPr>
        <w:t>Data Distribution:</w:t>
      </w:r>
    </w:p>
    <w:p w14:paraId="0FCE8DF6" w14:textId="77777777" w:rsidR="00A2441C" w:rsidRPr="00A2441C" w:rsidRDefault="00A2441C" w:rsidP="00A2441C">
      <w:pPr>
        <w:numPr>
          <w:ilvl w:val="1"/>
          <w:numId w:val="19"/>
        </w:numPr>
      </w:pPr>
      <w:r w:rsidRPr="00A2441C">
        <w:rPr>
          <w:b/>
          <w:bCs/>
        </w:rPr>
        <w:t>Low Scores (60-70):</w:t>
      </w:r>
      <w:r w:rsidRPr="00A2441C">
        <w:t xml:space="preserve"> Often found in students who study fewer than 10 hours per week.</w:t>
      </w:r>
    </w:p>
    <w:p w14:paraId="0228C49A" w14:textId="77777777" w:rsidR="00A2441C" w:rsidRPr="00A2441C" w:rsidRDefault="00A2441C" w:rsidP="00A2441C">
      <w:pPr>
        <w:numPr>
          <w:ilvl w:val="1"/>
          <w:numId w:val="19"/>
        </w:numPr>
      </w:pPr>
      <w:r w:rsidRPr="00A2441C">
        <w:rPr>
          <w:b/>
          <w:bCs/>
        </w:rPr>
        <w:t>Medium Scores (70-85):</w:t>
      </w:r>
      <w:r w:rsidRPr="00A2441C">
        <w:t xml:space="preserve"> Common among students who study between 10 and 25 hours per week.</w:t>
      </w:r>
    </w:p>
    <w:p w14:paraId="710AFE31" w14:textId="77777777" w:rsidR="00A2441C" w:rsidRPr="00A2441C" w:rsidRDefault="00A2441C" w:rsidP="00A2441C">
      <w:pPr>
        <w:numPr>
          <w:ilvl w:val="1"/>
          <w:numId w:val="19"/>
        </w:numPr>
      </w:pPr>
      <w:r w:rsidRPr="00A2441C">
        <w:rPr>
          <w:b/>
          <w:bCs/>
        </w:rPr>
        <w:t>High Scores (85-100):</w:t>
      </w:r>
      <w:r w:rsidRPr="00A2441C">
        <w:t xml:space="preserve"> Recorded in students who study 25+ hours per week.</w:t>
      </w:r>
    </w:p>
    <w:p w14:paraId="4DC68B1F" w14:textId="77777777" w:rsidR="00A2441C" w:rsidRDefault="00A2441C" w:rsidP="00A2441C">
      <w:pPr>
        <w:numPr>
          <w:ilvl w:val="0"/>
          <w:numId w:val="19"/>
        </w:numPr>
      </w:pPr>
      <w:r w:rsidRPr="00A2441C">
        <w:rPr>
          <w:b/>
          <w:bCs/>
        </w:rPr>
        <w:t>Outliers:</w:t>
      </w:r>
      <w:r w:rsidRPr="00A2441C">
        <w:t xml:space="preserve"> Some students who study over 30 hours still score poorly, possibly due to ineffective study methods, health issues, or stress. On the other hand, some students study fewer than 5 hours but achieve high scores, potentially due to natural aptitude or effective study strategies.</w:t>
      </w:r>
    </w:p>
    <w:p w14:paraId="725B113B" w14:textId="651706DC" w:rsidR="00760B07" w:rsidRPr="00A2441C" w:rsidRDefault="00760B07" w:rsidP="00760B07">
      <w:r>
        <w:lastRenderedPageBreak/>
        <w:pict w14:anchorId="2AB10B9B">
          <v:rect id="_x0000_i1046" style="width:0;height:1.5pt" o:hralign="center" o:hrstd="t" o:hr="t" fillcolor="#a0a0a0" stroked="f"/>
        </w:pict>
      </w:r>
    </w:p>
    <w:p w14:paraId="54D415A1" w14:textId="16792395" w:rsidR="00A2441C" w:rsidRPr="00A2441C" w:rsidRDefault="00760B07" w:rsidP="00A2441C">
      <w:pPr>
        <w:rPr>
          <w:b/>
          <w:bCs/>
          <w:sz w:val="28"/>
          <w:szCs w:val="28"/>
        </w:rPr>
      </w:pPr>
      <w:r w:rsidRPr="00A2441C">
        <w:rPr>
          <w:b/>
          <w:bCs/>
          <w:sz w:val="28"/>
          <w:szCs w:val="28"/>
        </w:rPr>
        <w:t>6. PARENTAL INVOLVEMENT BY GENDER</w:t>
      </w:r>
    </w:p>
    <w:p w14:paraId="674E9482" w14:textId="77777777" w:rsidR="00A2441C" w:rsidRPr="00A2441C" w:rsidRDefault="00A2441C" w:rsidP="00A2441C">
      <w:r w:rsidRPr="00A2441C">
        <w:t>The line chart on parental involvement by gender shows:</w:t>
      </w:r>
    </w:p>
    <w:p w14:paraId="4CA422F5" w14:textId="77777777" w:rsidR="00A2441C" w:rsidRPr="00A2441C" w:rsidRDefault="00A2441C" w:rsidP="00A2441C">
      <w:pPr>
        <w:numPr>
          <w:ilvl w:val="0"/>
          <w:numId w:val="20"/>
        </w:numPr>
      </w:pPr>
      <w:r w:rsidRPr="00A2441C">
        <w:rPr>
          <w:b/>
          <w:bCs/>
        </w:rPr>
        <w:t>Medium Involvement:</w:t>
      </w:r>
    </w:p>
    <w:p w14:paraId="4FDDE1C7" w14:textId="77777777" w:rsidR="00A2441C" w:rsidRPr="00A2441C" w:rsidRDefault="00A2441C" w:rsidP="00A2441C">
      <w:pPr>
        <w:numPr>
          <w:ilvl w:val="1"/>
          <w:numId w:val="20"/>
        </w:numPr>
      </w:pPr>
      <w:r w:rsidRPr="00A2441C">
        <w:t>Female: 1,975</w:t>
      </w:r>
    </w:p>
    <w:p w14:paraId="0E2B61CB" w14:textId="77777777" w:rsidR="00A2441C" w:rsidRPr="00A2441C" w:rsidRDefault="00A2441C" w:rsidP="00A2441C">
      <w:pPr>
        <w:numPr>
          <w:ilvl w:val="1"/>
          <w:numId w:val="20"/>
        </w:numPr>
      </w:pPr>
      <w:r w:rsidRPr="00A2441C">
        <w:t>Male: 1,387</w:t>
      </w:r>
    </w:p>
    <w:p w14:paraId="31535BB3" w14:textId="77777777" w:rsidR="00A2441C" w:rsidRPr="00A2441C" w:rsidRDefault="00A2441C" w:rsidP="00A2441C">
      <w:pPr>
        <w:numPr>
          <w:ilvl w:val="0"/>
          <w:numId w:val="20"/>
        </w:numPr>
      </w:pPr>
      <w:r w:rsidRPr="00A2441C">
        <w:rPr>
          <w:b/>
          <w:bCs/>
        </w:rPr>
        <w:t>High Involvement:</w:t>
      </w:r>
    </w:p>
    <w:p w14:paraId="65F1A948" w14:textId="77777777" w:rsidR="00A2441C" w:rsidRPr="00A2441C" w:rsidRDefault="00A2441C" w:rsidP="00A2441C">
      <w:pPr>
        <w:numPr>
          <w:ilvl w:val="1"/>
          <w:numId w:val="20"/>
        </w:numPr>
      </w:pPr>
      <w:r w:rsidRPr="00A2441C">
        <w:t>Female: 1,066</w:t>
      </w:r>
    </w:p>
    <w:p w14:paraId="02F82566" w14:textId="77777777" w:rsidR="00A2441C" w:rsidRPr="00A2441C" w:rsidRDefault="00A2441C" w:rsidP="00A2441C">
      <w:pPr>
        <w:numPr>
          <w:ilvl w:val="1"/>
          <w:numId w:val="20"/>
        </w:numPr>
      </w:pPr>
      <w:r w:rsidRPr="00A2441C">
        <w:t>Male: 842</w:t>
      </w:r>
    </w:p>
    <w:p w14:paraId="04BF5F4C" w14:textId="77777777" w:rsidR="00A2441C" w:rsidRPr="00A2441C" w:rsidRDefault="00A2441C" w:rsidP="00A2441C">
      <w:pPr>
        <w:numPr>
          <w:ilvl w:val="0"/>
          <w:numId w:val="20"/>
        </w:numPr>
      </w:pPr>
      <w:r w:rsidRPr="00A2441C">
        <w:rPr>
          <w:b/>
          <w:bCs/>
        </w:rPr>
        <w:t>Low Involvement:</w:t>
      </w:r>
    </w:p>
    <w:p w14:paraId="3CB7A4A7" w14:textId="77777777" w:rsidR="00A2441C" w:rsidRPr="00A2441C" w:rsidRDefault="00A2441C" w:rsidP="00A2441C">
      <w:pPr>
        <w:numPr>
          <w:ilvl w:val="1"/>
          <w:numId w:val="20"/>
        </w:numPr>
      </w:pPr>
      <w:r w:rsidRPr="00A2441C">
        <w:t>Female: 773</w:t>
      </w:r>
    </w:p>
    <w:p w14:paraId="6C34746C" w14:textId="77777777" w:rsidR="00A2441C" w:rsidRPr="00A2441C" w:rsidRDefault="00A2441C" w:rsidP="00A2441C">
      <w:pPr>
        <w:numPr>
          <w:ilvl w:val="1"/>
          <w:numId w:val="20"/>
        </w:numPr>
      </w:pPr>
      <w:r w:rsidRPr="00A2441C">
        <w:t>Male: 564</w:t>
      </w:r>
    </w:p>
    <w:p w14:paraId="33633504" w14:textId="77777777" w:rsidR="00A2441C" w:rsidRDefault="00A2441C" w:rsidP="00A2441C">
      <w:r w:rsidRPr="00A2441C">
        <w:t>Female students tend to have higher parental involvement at all levels (medium, high, and low) compared to male students, which may reflect different societal or cultural expectations regarding gender and academic engagement.</w:t>
      </w:r>
    </w:p>
    <w:p w14:paraId="2053CDA5" w14:textId="39954235" w:rsidR="00760B07" w:rsidRPr="00A2441C" w:rsidRDefault="00760B07" w:rsidP="00A2441C">
      <w:r>
        <w:pict w14:anchorId="4A04EA17">
          <v:rect id="_x0000_i1047" style="width:0;height:1.5pt" o:hralign="center" o:hrstd="t" o:hr="t" fillcolor="#a0a0a0" stroked="f"/>
        </w:pict>
      </w:r>
    </w:p>
    <w:p w14:paraId="7FF5B5F0" w14:textId="2A82724A" w:rsidR="00A2441C" w:rsidRPr="00A2441C" w:rsidRDefault="00760B07" w:rsidP="00A2441C">
      <w:pPr>
        <w:rPr>
          <w:b/>
          <w:bCs/>
          <w:sz w:val="28"/>
          <w:szCs w:val="28"/>
        </w:rPr>
      </w:pPr>
      <w:r w:rsidRPr="00A2441C">
        <w:rPr>
          <w:b/>
          <w:bCs/>
          <w:sz w:val="28"/>
          <w:szCs w:val="28"/>
        </w:rPr>
        <w:t>7. ATTENDANCE BY PASS/FAIL STATUS</w:t>
      </w:r>
    </w:p>
    <w:p w14:paraId="1051B013" w14:textId="77777777" w:rsidR="00A2441C" w:rsidRPr="00A2441C" w:rsidRDefault="00A2441C" w:rsidP="00A2441C">
      <w:r w:rsidRPr="00A2441C">
        <w:t>The bar chart showing attendance by pass/fail status reveals:</w:t>
      </w:r>
    </w:p>
    <w:p w14:paraId="28DC945B" w14:textId="77777777" w:rsidR="00A2441C" w:rsidRPr="00A2441C" w:rsidRDefault="00A2441C" w:rsidP="00A2441C">
      <w:pPr>
        <w:numPr>
          <w:ilvl w:val="0"/>
          <w:numId w:val="21"/>
        </w:numPr>
      </w:pPr>
      <w:r w:rsidRPr="00A2441C">
        <w:rPr>
          <w:b/>
          <w:bCs/>
        </w:rPr>
        <w:t>Fail:</w:t>
      </w:r>
      <w:r w:rsidRPr="00A2441C">
        <w:t xml:space="preserve"> 0.38 million days</w:t>
      </w:r>
    </w:p>
    <w:p w14:paraId="31343D87" w14:textId="77777777" w:rsidR="00A2441C" w:rsidRPr="00A2441C" w:rsidRDefault="00A2441C" w:rsidP="00A2441C">
      <w:pPr>
        <w:numPr>
          <w:ilvl w:val="0"/>
          <w:numId w:val="21"/>
        </w:numPr>
      </w:pPr>
      <w:r w:rsidRPr="00A2441C">
        <w:rPr>
          <w:b/>
          <w:bCs/>
        </w:rPr>
        <w:t>Pass:</w:t>
      </w:r>
      <w:r w:rsidRPr="00A2441C">
        <w:t xml:space="preserve"> 0.15 million days</w:t>
      </w:r>
    </w:p>
    <w:p w14:paraId="3C292F0C" w14:textId="77777777" w:rsidR="00A2441C" w:rsidRDefault="00A2441C" w:rsidP="00A2441C">
      <w:r w:rsidRPr="00A2441C">
        <w:t>Students who failed attended more school days than those who passed, which may indicate that students who fail have lower engagement in their studies or may face other barriers to success. Further investigation is needed to better understand this relationship.</w:t>
      </w:r>
    </w:p>
    <w:p w14:paraId="387891C6" w14:textId="51A16648" w:rsidR="00760B07" w:rsidRPr="00A2441C" w:rsidRDefault="00760B07" w:rsidP="00A2441C">
      <w:r>
        <w:pict w14:anchorId="047D2FDA">
          <v:rect id="_x0000_i1048" style="width:0;height:1.5pt" o:hralign="center" o:hrstd="t" o:hr="t" fillcolor="#a0a0a0" stroked="f"/>
        </w:pict>
      </w:r>
    </w:p>
    <w:p w14:paraId="12FEB262" w14:textId="759649CD" w:rsidR="00A2441C" w:rsidRPr="00A2441C" w:rsidRDefault="00760B07" w:rsidP="00A2441C">
      <w:pPr>
        <w:rPr>
          <w:b/>
          <w:bCs/>
          <w:sz w:val="28"/>
          <w:szCs w:val="28"/>
        </w:rPr>
      </w:pPr>
      <w:r w:rsidRPr="00760B07">
        <w:rPr>
          <w:b/>
          <w:bCs/>
          <w:sz w:val="28"/>
          <w:szCs w:val="28"/>
        </w:rPr>
        <w:t xml:space="preserve">8. </w:t>
      </w:r>
      <w:r w:rsidRPr="00A2441C">
        <w:rPr>
          <w:b/>
          <w:bCs/>
          <w:sz w:val="28"/>
          <w:szCs w:val="28"/>
        </w:rPr>
        <w:t>CONCLUSIONS AND RECOMMENDATIONS</w:t>
      </w:r>
    </w:p>
    <w:p w14:paraId="500E16F8" w14:textId="77777777" w:rsidR="00A2441C" w:rsidRPr="00A2441C" w:rsidRDefault="00A2441C" w:rsidP="00A2441C">
      <w:pPr>
        <w:numPr>
          <w:ilvl w:val="0"/>
          <w:numId w:val="22"/>
        </w:numPr>
      </w:pPr>
      <w:r w:rsidRPr="00A2441C">
        <w:rPr>
          <w:b/>
          <w:bCs/>
        </w:rPr>
        <w:lastRenderedPageBreak/>
        <w:t>Study Hours:</w:t>
      </w:r>
      <w:r w:rsidRPr="00A2441C">
        <w:t xml:space="preserve"> Students should focus on increasing their study time to improve their exam scores. However, it is also essential to consider the quality of study and study techniques.</w:t>
      </w:r>
    </w:p>
    <w:p w14:paraId="4793F8DE" w14:textId="77777777" w:rsidR="00A2441C" w:rsidRPr="00A2441C" w:rsidRDefault="00A2441C" w:rsidP="00A2441C">
      <w:pPr>
        <w:numPr>
          <w:ilvl w:val="0"/>
          <w:numId w:val="22"/>
        </w:numPr>
      </w:pPr>
      <w:r w:rsidRPr="00A2441C">
        <w:rPr>
          <w:b/>
          <w:bCs/>
        </w:rPr>
        <w:t>Parental Involvement:</w:t>
      </w:r>
      <w:r w:rsidRPr="00A2441C">
        <w:t xml:space="preserve"> Parental involvement is crucial, especially for female students. Parents should increase their engagement in their children's learning processes to support academic success.</w:t>
      </w:r>
    </w:p>
    <w:p w14:paraId="12BF2F26" w14:textId="77777777" w:rsidR="00A2441C" w:rsidRPr="00A2441C" w:rsidRDefault="00A2441C" w:rsidP="00A2441C">
      <w:pPr>
        <w:numPr>
          <w:ilvl w:val="0"/>
          <w:numId w:val="22"/>
        </w:numPr>
      </w:pPr>
      <w:r w:rsidRPr="00A2441C">
        <w:rPr>
          <w:b/>
          <w:bCs/>
        </w:rPr>
        <w:t>Sleep:</w:t>
      </w:r>
      <w:r w:rsidRPr="00A2441C">
        <w:t xml:space="preserve"> While sleep duration within the given range does not show a strong correlation with exam performance, ensuring quality sleep is still important for overall well-being and academic performance.</w:t>
      </w:r>
    </w:p>
    <w:p w14:paraId="4B8077C1" w14:textId="77777777" w:rsidR="00A2441C" w:rsidRPr="00A2441C" w:rsidRDefault="00A2441C" w:rsidP="00A2441C">
      <w:pPr>
        <w:numPr>
          <w:ilvl w:val="0"/>
          <w:numId w:val="22"/>
        </w:numPr>
      </w:pPr>
      <w:r w:rsidRPr="00A2441C">
        <w:rPr>
          <w:b/>
          <w:bCs/>
        </w:rPr>
        <w:t>Attendance:</w:t>
      </w:r>
      <w:r w:rsidRPr="00A2441C">
        <w:t xml:space="preserve"> Students who failed have higher attendance, which may indicate issues with engagement or effectiveness of attendance. Improving student motivation and support may help address these issues.</w:t>
      </w:r>
    </w:p>
    <w:p w14:paraId="150CE55E" w14:textId="77777777" w:rsidR="00A2441C" w:rsidRPr="00F45CEB" w:rsidRDefault="00A2441C" w:rsidP="00A2441C"/>
    <w:sectPr w:rsidR="00A2441C" w:rsidRPr="00F45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B71DC"/>
    <w:multiLevelType w:val="multilevel"/>
    <w:tmpl w:val="CEF8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14D56"/>
    <w:multiLevelType w:val="multilevel"/>
    <w:tmpl w:val="31B2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B0803"/>
    <w:multiLevelType w:val="multilevel"/>
    <w:tmpl w:val="1CA0A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E775E"/>
    <w:multiLevelType w:val="hybridMultilevel"/>
    <w:tmpl w:val="375886FC"/>
    <w:lvl w:ilvl="0" w:tplc="AD7E39C8">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37798"/>
    <w:multiLevelType w:val="multilevel"/>
    <w:tmpl w:val="BA44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C3C60"/>
    <w:multiLevelType w:val="multilevel"/>
    <w:tmpl w:val="F39A1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75321"/>
    <w:multiLevelType w:val="hybridMultilevel"/>
    <w:tmpl w:val="5F64DE2C"/>
    <w:lvl w:ilvl="0" w:tplc="85020B1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32A8B"/>
    <w:multiLevelType w:val="multilevel"/>
    <w:tmpl w:val="92EA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D41AA"/>
    <w:multiLevelType w:val="multilevel"/>
    <w:tmpl w:val="93C2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34371"/>
    <w:multiLevelType w:val="multilevel"/>
    <w:tmpl w:val="23DC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215D4"/>
    <w:multiLevelType w:val="multilevel"/>
    <w:tmpl w:val="214C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3021C"/>
    <w:multiLevelType w:val="multilevel"/>
    <w:tmpl w:val="446A2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AF5246"/>
    <w:multiLevelType w:val="multilevel"/>
    <w:tmpl w:val="37EE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352184"/>
    <w:multiLevelType w:val="multilevel"/>
    <w:tmpl w:val="EBA2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D4F4C"/>
    <w:multiLevelType w:val="multilevel"/>
    <w:tmpl w:val="B72E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D21B14"/>
    <w:multiLevelType w:val="multilevel"/>
    <w:tmpl w:val="0252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90233C"/>
    <w:multiLevelType w:val="multilevel"/>
    <w:tmpl w:val="F8D6C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CB78B7"/>
    <w:multiLevelType w:val="multilevel"/>
    <w:tmpl w:val="9AFE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821913"/>
    <w:multiLevelType w:val="multilevel"/>
    <w:tmpl w:val="4434C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066509"/>
    <w:multiLevelType w:val="hybridMultilevel"/>
    <w:tmpl w:val="91FE4DBC"/>
    <w:lvl w:ilvl="0" w:tplc="F7C4BBF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9103D18"/>
    <w:multiLevelType w:val="multilevel"/>
    <w:tmpl w:val="EB361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2E639F"/>
    <w:multiLevelType w:val="multilevel"/>
    <w:tmpl w:val="433E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424600">
    <w:abstractNumId w:val="6"/>
  </w:num>
  <w:num w:numId="2" w16cid:durableId="704477516">
    <w:abstractNumId w:val="14"/>
  </w:num>
  <w:num w:numId="3" w16cid:durableId="1498230221">
    <w:abstractNumId w:val="4"/>
  </w:num>
  <w:num w:numId="4" w16cid:durableId="1757095169">
    <w:abstractNumId w:val="9"/>
  </w:num>
  <w:num w:numId="5" w16cid:durableId="1491865225">
    <w:abstractNumId w:val="12"/>
  </w:num>
  <w:num w:numId="6" w16cid:durableId="918635290">
    <w:abstractNumId w:val="15"/>
  </w:num>
  <w:num w:numId="7" w16cid:durableId="1633754967">
    <w:abstractNumId w:val="2"/>
  </w:num>
  <w:num w:numId="8" w16cid:durableId="1543052431">
    <w:abstractNumId w:val="1"/>
  </w:num>
  <w:num w:numId="9" w16cid:durableId="177894472">
    <w:abstractNumId w:val="10"/>
  </w:num>
  <w:num w:numId="10" w16cid:durableId="899704534">
    <w:abstractNumId w:val="5"/>
  </w:num>
  <w:num w:numId="11" w16cid:durableId="2076929646">
    <w:abstractNumId w:val="18"/>
  </w:num>
  <w:num w:numId="12" w16cid:durableId="900553550">
    <w:abstractNumId w:val="11"/>
  </w:num>
  <w:num w:numId="13" w16cid:durableId="581109526">
    <w:abstractNumId w:val="19"/>
  </w:num>
  <w:num w:numId="14" w16cid:durableId="1214461323">
    <w:abstractNumId w:val="3"/>
  </w:num>
  <w:num w:numId="15" w16cid:durableId="1073897589">
    <w:abstractNumId w:val="21"/>
  </w:num>
  <w:num w:numId="16" w16cid:durableId="174154897">
    <w:abstractNumId w:val="8"/>
  </w:num>
  <w:num w:numId="17" w16cid:durableId="1409613833">
    <w:abstractNumId w:val="17"/>
  </w:num>
  <w:num w:numId="18" w16cid:durableId="1498881031">
    <w:abstractNumId w:val="0"/>
  </w:num>
  <w:num w:numId="19" w16cid:durableId="739061418">
    <w:abstractNumId w:val="16"/>
  </w:num>
  <w:num w:numId="20" w16cid:durableId="540560123">
    <w:abstractNumId w:val="20"/>
  </w:num>
  <w:num w:numId="21" w16cid:durableId="313724032">
    <w:abstractNumId w:val="7"/>
  </w:num>
  <w:num w:numId="22" w16cid:durableId="21364869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CEB"/>
    <w:rsid w:val="003F1E5F"/>
    <w:rsid w:val="00760B07"/>
    <w:rsid w:val="008D5B3C"/>
    <w:rsid w:val="00A2441C"/>
    <w:rsid w:val="00BE624F"/>
    <w:rsid w:val="00F4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8E6E9"/>
  <w15:chartTrackingRefBased/>
  <w15:docId w15:val="{C8A469FD-EAA8-4970-A2B9-4CFB69ED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C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C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C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C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C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C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C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C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C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C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C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C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C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C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C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C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C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CEB"/>
    <w:rPr>
      <w:rFonts w:eastAsiaTheme="majorEastAsia" w:cstheme="majorBidi"/>
      <w:color w:val="272727" w:themeColor="text1" w:themeTint="D8"/>
    </w:rPr>
  </w:style>
  <w:style w:type="paragraph" w:styleId="Title">
    <w:name w:val="Title"/>
    <w:basedOn w:val="Normal"/>
    <w:next w:val="Normal"/>
    <w:link w:val="TitleChar"/>
    <w:uiPriority w:val="10"/>
    <w:qFormat/>
    <w:rsid w:val="00F45C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C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C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C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CEB"/>
    <w:pPr>
      <w:spacing w:before="160"/>
      <w:jc w:val="center"/>
    </w:pPr>
    <w:rPr>
      <w:i/>
      <w:iCs/>
      <w:color w:val="404040" w:themeColor="text1" w:themeTint="BF"/>
    </w:rPr>
  </w:style>
  <w:style w:type="character" w:customStyle="1" w:styleId="QuoteChar">
    <w:name w:val="Quote Char"/>
    <w:basedOn w:val="DefaultParagraphFont"/>
    <w:link w:val="Quote"/>
    <w:uiPriority w:val="29"/>
    <w:rsid w:val="00F45CEB"/>
    <w:rPr>
      <w:i/>
      <w:iCs/>
      <w:color w:val="404040" w:themeColor="text1" w:themeTint="BF"/>
    </w:rPr>
  </w:style>
  <w:style w:type="paragraph" w:styleId="ListParagraph">
    <w:name w:val="List Paragraph"/>
    <w:basedOn w:val="Normal"/>
    <w:uiPriority w:val="34"/>
    <w:qFormat/>
    <w:rsid w:val="00F45CEB"/>
    <w:pPr>
      <w:ind w:left="720"/>
      <w:contextualSpacing/>
    </w:pPr>
  </w:style>
  <w:style w:type="character" w:styleId="IntenseEmphasis">
    <w:name w:val="Intense Emphasis"/>
    <w:basedOn w:val="DefaultParagraphFont"/>
    <w:uiPriority w:val="21"/>
    <w:qFormat/>
    <w:rsid w:val="00F45CEB"/>
    <w:rPr>
      <w:i/>
      <w:iCs/>
      <w:color w:val="0F4761" w:themeColor="accent1" w:themeShade="BF"/>
    </w:rPr>
  </w:style>
  <w:style w:type="paragraph" w:styleId="IntenseQuote">
    <w:name w:val="Intense Quote"/>
    <w:basedOn w:val="Normal"/>
    <w:next w:val="Normal"/>
    <w:link w:val="IntenseQuoteChar"/>
    <w:uiPriority w:val="30"/>
    <w:qFormat/>
    <w:rsid w:val="00F45C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CEB"/>
    <w:rPr>
      <w:i/>
      <w:iCs/>
      <w:color w:val="0F4761" w:themeColor="accent1" w:themeShade="BF"/>
    </w:rPr>
  </w:style>
  <w:style w:type="character" w:styleId="IntenseReference">
    <w:name w:val="Intense Reference"/>
    <w:basedOn w:val="DefaultParagraphFont"/>
    <w:uiPriority w:val="32"/>
    <w:qFormat/>
    <w:rsid w:val="00F45C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160825">
      <w:bodyDiv w:val="1"/>
      <w:marLeft w:val="0"/>
      <w:marRight w:val="0"/>
      <w:marTop w:val="0"/>
      <w:marBottom w:val="0"/>
      <w:divBdr>
        <w:top w:val="none" w:sz="0" w:space="0" w:color="auto"/>
        <w:left w:val="none" w:sz="0" w:space="0" w:color="auto"/>
        <w:bottom w:val="none" w:sz="0" w:space="0" w:color="auto"/>
        <w:right w:val="none" w:sz="0" w:space="0" w:color="auto"/>
      </w:divBdr>
    </w:div>
    <w:div w:id="600072221">
      <w:bodyDiv w:val="1"/>
      <w:marLeft w:val="0"/>
      <w:marRight w:val="0"/>
      <w:marTop w:val="0"/>
      <w:marBottom w:val="0"/>
      <w:divBdr>
        <w:top w:val="none" w:sz="0" w:space="0" w:color="auto"/>
        <w:left w:val="none" w:sz="0" w:space="0" w:color="auto"/>
        <w:bottom w:val="none" w:sz="0" w:space="0" w:color="auto"/>
        <w:right w:val="none" w:sz="0" w:space="0" w:color="auto"/>
      </w:divBdr>
    </w:div>
    <w:div w:id="734015580">
      <w:bodyDiv w:val="1"/>
      <w:marLeft w:val="0"/>
      <w:marRight w:val="0"/>
      <w:marTop w:val="0"/>
      <w:marBottom w:val="0"/>
      <w:divBdr>
        <w:top w:val="none" w:sz="0" w:space="0" w:color="auto"/>
        <w:left w:val="none" w:sz="0" w:space="0" w:color="auto"/>
        <w:bottom w:val="none" w:sz="0" w:space="0" w:color="auto"/>
        <w:right w:val="none" w:sz="0" w:space="0" w:color="auto"/>
      </w:divBdr>
    </w:div>
    <w:div w:id="1367559405">
      <w:bodyDiv w:val="1"/>
      <w:marLeft w:val="0"/>
      <w:marRight w:val="0"/>
      <w:marTop w:val="0"/>
      <w:marBottom w:val="0"/>
      <w:divBdr>
        <w:top w:val="none" w:sz="0" w:space="0" w:color="auto"/>
        <w:left w:val="none" w:sz="0" w:space="0" w:color="auto"/>
        <w:bottom w:val="none" w:sz="0" w:space="0" w:color="auto"/>
        <w:right w:val="none" w:sz="0" w:space="0" w:color="auto"/>
      </w:divBdr>
    </w:div>
    <w:div w:id="1547987801">
      <w:bodyDiv w:val="1"/>
      <w:marLeft w:val="0"/>
      <w:marRight w:val="0"/>
      <w:marTop w:val="0"/>
      <w:marBottom w:val="0"/>
      <w:divBdr>
        <w:top w:val="none" w:sz="0" w:space="0" w:color="auto"/>
        <w:left w:val="none" w:sz="0" w:space="0" w:color="auto"/>
        <w:bottom w:val="none" w:sz="0" w:space="0" w:color="auto"/>
        <w:right w:val="none" w:sz="0" w:space="0" w:color="auto"/>
      </w:divBdr>
    </w:div>
    <w:div w:id="197067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 Thanh Tu</dc:creator>
  <cp:keywords/>
  <dc:description/>
  <cp:lastModifiedBy>Truong Nguyen Thanh Tu</cp:lastModifiedBy>
  <cp:revision>2</cp:revision>
  <dcterms:created xsi:type="dcterms:W3CDTF">2024-12-24T03:46:00Z</dcterms:created>
  <dcterms:modified xsi:type="dcterms:W3CDTF">2024-12-25T06:20:00Z</dcterms:modified>
</cp:coreProperties>
</file>