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TRA 11 CA THIẾU ỨNG VIÊN THEO NHÃN CHUYÊN KHOA</w:t>
      </w:r>
    </w:p>
    <w:p>
      <w:r>
        <w:t>Đối chiếu kết quả benchmark ngày 20/10/2026 với danh mục và Redis index khi kiểm tra lại. Giữ nguyên dữ liệu kết quả cũ; không sửa nhãn hoặc thay số liệu benchmark.</w:t>
      </w:r>
    </w:p>
    <w:p>
      <w:pPr>
        <w:pStyle w:val="Heading1"/>
      </w:pPr>
      <w:r>
        <w:t>1. Kết quả xác minh</w:t>
      </w:r>
    </w:p>
    <w:p>
      <w:r>
        <w:t>Danh mục vẫn có 96 gói với cùng ID và chuyên khoa. Cả 96 vector tồn tại, đúng số chiều; fingerprint nội dung đều khớp với cách xây dựng văn bản đang dùng khi đồng bộ.</w:t>
      </w:r>
    </w:p>
    <w:p>
      <w:r>
        <w:t>Cả 11 ca đều còn gói thuộc chuyên khoa kỳ vọng sau khi lọc hồ sơ và loại gói tái khám chưa có lịch sử. Do đó điều kiện tuổi, giới tính hoặc loại gói tái khám không phải nguyên nhân làm mất toàn bộ gói thuộc chuyên khoa kỳ vọng ở các ca này.</w:t>
      </w:r>
    </w:p>
    <w:p>
      <w:r>
        <w:t>Ứng viên thuộc chuyên khoa kỳ vọng có thứ hạng tốt nhất từ 10 đến 41. Hệ thống chỉ lấy 8 ứng viên nên các gói này không được gửi lên LLM.</w:t>
      </w:r>
    </w:p>
    <w:p>
      <w:r>
        <w:t>Cả 11 kết quả top 8 của Redis trùng với kết quả tính cosine trên toàn bộ vector hợp lệ và trùng tập ứng viên đã lưu trong benchmark. Trong các ca kiểm tra này, không phát hiện sai lệch do tìm kiếm gần đúng HNSW.</w:t>
      </w:r>
    </w:p>
    <w:p>
      <w:pPr>
        <w:pStyle w:val="Heading1"/>
      </w:pPr>
      <w:r>
        <w:t>2. Chi tiết thứ hạng</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t>Ca</w:t>
            </w:r>
          </w:p>
        </w:tc>
        <w:tc>
          <w:tcPr>
            <w:tcW w:type="dxa" w:w="2493"/>
          </w:tcPr>
          <w:p>
            <w:r>
              <w:t>Chuyên khoa kỳ vọng</w:t>
            </w:r>
          </w:p>
        </w:tc>
        <w:tc>
          <w:tcPr>
            <w:tcW w:type="dxa" w:w="2493"/>
          </w:tcPr>
          <w:p>
            <w:r>
              <w:t>Số gói còn hợp lệ, không tái khám</w:t>
            </w:r>
          </w:p>
        </w:tc>
        <w:tc>
          <w:tcPr>
            <w:tcW w:type="dxa" w:w="2493"/>
          </w:tcPr>
          <w:p>
            <w:r>
              <w:t>Hạng tốt nhất</w:t>
            </w:r>
          </w:p>
        </w:tc>
      </w:tr>
      <w:tr>
        <w:tc>
          <w:tcPr>
            <w:tcW w:type="dxa" w:w="2493"/>
          </w:tcPr>
          <w:p>
            <w:r>
              <w:t>TC-05</w:t>
            </w:r>
          </w:p>
        </w:tc>
        <w:tc>
          <w:tcPr>
            <w:tcW w:type="dxa" w:w="2493"/>
          </w:tcPr>
          <w:p>
            <w:r>
              <w:t>Tiêu hóa – Gan mật</w:t>
            </w:r>
          </w:p>
        </w:tc>
        <w:tc>
          <w:tcPr>
            <w:tcW w:type="dxa" w:w="2493"/>
          </w:tcPr>
          <w:p>
            <w:r>
              <w:t>4</w:t>
            </w:r>
          </w:p>
        </w:tc>
        <w:tc>
          <w:tcPr>
            <w:tcW w:type="dxa" w:w="2493"/>
          </w:tcPr>
          <w:p>
            <w:r>
              <w:t>33</w:t>
            </w:r>
          </w:p>
        </w:tc>
      </w:tr>
      <w:tr>
        <w:tc>
          <w:tcPr>
            <w:tcW w:type="dxa" w:w="2493"/>
          </w:tcPr>
          <w:p>
            <w:r>
              <w:t>TC-08</w:t>
            </w:r>
          </w:p>
        </w:tc>
        <w:tc>
          <w:tcPr>
            <w:tcW w:type="dxa" w:w="2493"/>
          </w:tcPr>
          <w:p>
            <w:r>
              <w:t>Hô hấp</w:t>
            </w:r>
          </w:p>
        </w:tc>
        <w:tc>
          <w:tcPr>
            <w:tcW w:type="dxa" w:w="2493"/>
          </w:tcPr>
          <w:p>
            <w:r>
              <w:t>4</w:t>
            </w:r>
          </w:p>
        </w:tc>
        <w:tc>
          <w:tcPr>
            <w:tcW w:type="dxa" w:w="2493"/>
          </w:tcPr>
          <w:p>
            <w:r>
              <w:t>17</w:t>
            </w:r>
          </w:p>
        </w:tc>
      </w:tr>
      <w:tr>
        <w:tc>
          <w:tcPr>
            <w:tcW w:type="dxa" w:w="2493"/>
          </w:tcPr>
          <w:p>
            <w:r>
              <w:t>TC-09</w:t>
            </w:r>
          </w:p>
        </w:tc>
        <w:tc>
          <w:tcPr>
            <w:tcW w:type="dxa" w:w="2493"/>
          </w:tcPr>
          <w:p>
            <w:r>
              <w:t>Sản – Phụ khoa</w:t>
            </w:r>
          </w:p>
        </w:tc>
        <w:tc>
          <w:tcPr>
            <w:tcW w:type="dxa" w:w="2493"/>
          </w:tcPr>
          <w:p>
            <w:r>
              <w:t>4</w:t>
            </w:r>
          </w:p>
        </w:tc>
        <w:tc>
          <w:tcPr>
            <w:tcW w:type="dxa" w:w="2493"/>
          </w:tcPr>
          <w:p>
            <w:r>
              <w:t>14</w:t>
            </w:r>
          </w:p>
        </w:tc>
      </w:tr>
      <w:tr>
        <w:tc>
          <w:tcPr>
            <w:tcW w:type="dxa" w:w="2493"/>
          </w:tcPr>
          <w:p>
            <w:r>
              <w:t>TC-10</w:t>
            </w:r>
          </w:p>
        </w:tc>
        <w:tc>
          <w:tcPr>
            <w:tcW w:type="dxa" w:w="2493"/>
          </w:tcPr>
          <w:p>
            <w:r>
              <w:t>Sản – Phụ khoa</w:t>
            </w:r>
          </w:p>
        </w:tc>
        <w:tc>
          <w:tcPr>
            <w:tcW w:type="dxa" w:w="2493"/>
          </w:tcPr>
          <w:p>
            <w:r>
              <w:t>4</w:t>
            </w:r>
          </w:p>
        </w:tc>
        <w:tc>
          <w:tcPr>
            <w:tcW w:type="dxa" w:w="2493"/>
          </w:tcPr>
          <w:p>
            <w:r>
              <w:t>18</w:t>
            </w:r>
          </w:p>
        </w:tc>
      </w:tr>
      <w:tr>
        <w:tc>
          <w:tcPr>
            <w:tcW w:type="dxa" w:w="2493"/>
          </w:tcPr>
          <w:p>
            <w:r>
              <w:t>TC-14</w:t>
            </w:r>
          </w:p>
        </w:tc>
        <w:tc>
          <w:tcPr>
            <w:tcW w:type="dxa" w:w="2493"/>
          </w:tcPr>
          <w:p>
            <w:r>
              <w:t>Thần kinh</w:t>
            </w:r>
          </w:p>
        </w:tc>
        <w:tc>
          <w:tcPr>
            <w:tcW w:type="dxa" w:w="2493"/>
          </w:tcPr>
          <w:p>
            <w:r>
              <w:t>4</w:t>
            </w:r>
          </w:p>
        </w:tc>
        <w:tc>
          <w:tcPr>
            <w:tcW w:type="dxa" w:w="2493"/>
          </w:tcPr>
          <w:p>
            <w:r>
              <w:t>17</w:t>
            </w:r>
          </w:p>
        </w:tc>
      </w:tr>
      <w:tr>
        <w:tc>
          <w:tcPr>
            <w:tcW w:type="dxa" w:w="2493"/>
          </w:tcPr>
          <w:p>
            <w:r>
              <w:t>TC-15</w:t>
            </w:r>
          </w:p>
        </w:tc>
        <w:tc>
          <w:tcPr>
            <w:tcW w:type="dxa" w:w="2493"/>
          </w:tcPr>
          <w:p>
            <w:r>
              <w:t>Mắt</w:t>
            </w:r>
          </w:p>
        </w:tc>
        <w:tc>
          <w:tcPr>
            <w:tcW w:type="dxa" w:w="2493"/>
          </w:tcPr>
          <w:p>
            <w:r>
              <w:t>4</w:t>
            </w:r>
          </w:p>
        </w:tc>
        <w:tc>
          <w:tcPr>
            <w:tcW w:type="dxa" w:w="2493"/>
          </w:tcPr>
          <w:p>
            <w:r>
              <w:t>29</w:t>
            </w:r>
          </w:p>
        </w:tc>
      </w:tr>
      <w:tr>
        <w:tc>
          <w:tcPr>
            <w:tcW w:type="dxa" w:w="2493"/>
          </w:tcPr>
          <w:p>
            <w:r>
              <w:t>TC-20</w:t>
            </w:r>
          </w:p>
        </w:tc>
        <w:tc>
          <w:tcPr>
            <w:tcW w:type="dxa" w:w="2493"/>
          </w:tcPr>
          <w:p>
            <w:r>
              <w:t>Da liễu</w:t>
            </w:r>
          </w:p>
        </w:tc>
        <w:tc>
          <w:tcPr>
            <w:tcW w:type="dxa" w:w="2493"/>
          </w:tcPr>
          <w:p>
            <w:r>
              <w:t>4</w:t>
            </w:r>
          </w:p>
        </w:tc>
        <w:tc>
          <w:tcPr>
            <w:tcW w:type="dxa" w:w="2493"/>
          </w:tcPr>
          <w:p>
            <w:r>
              <w:t>41</w:t>
            </w:r>
          </w:p>
        </w:tc>
      </w:tr>
      <w:tr>
        <w:tc>
          <w:tcPr>
            <w:tcW w:type="dxa" w:w="2493"/>
          </w:tcPr>
          <w:p>
            <w:r>
              <w:t>TC-23</w:t>
            </w:r>
          </w:p>
        </w:tc>
        <w:tc>
          <w:tcPr>
            <w:tcW w:type="dxa" w:w="2493"/>
          </w:tcPr>
          <w:p>
            <w:r>
              <w:t>Tim mạch, Nội tiết – Đái tháo đường, Nội tổng quát</w:t>
            </w:r>
          </w:p>
        </w:tc>
        <w:tc>
          <w:tcPr>
            <w:tcW w:type="dxa" w:w="2493"/>
          </w:tcPr>
          <w:p>
            <w:r>
              <w:t>12</w:t>
            </w:r>
          </w:p>
        </w:tc>
        <w:tc>
          <w:tcPr>
            <w:tcW w:type="dxa" w:w="2493"/>
          </w:tcPr>
          <w:p>
            <w:r>
              <w:t>17</w:t>
            </w:r>
          </w:p>
        </w:tc>
      </w:tr>
      <w:tr>
        <w:tc>
          <w:tcPr>
            <w:tcW w:type="dxa" w:w="2493"/>
          </w:tcPr>
          <w:p>
            <w:r>
              <w:t>TC-24</w:t>
            </w:r>
          </w:p>
        </w:tc>
        <w:tc>
          <w:tcPr>
            <w:tcW w:type="dxa" w:w="2493"/>
          </w:tcPr>
          <w:p>
            <w:r>
              <w:t>Tim mạch, Nội tiết – Đái tháo đường, Mắt</w:t>
            </w:r>
          </w:p>
        </w:tc>
        <w:tc>
          <w:tcPr>
            <w:tcW w:type="dxa" w:w="2493"/>
          </w:tcPr>
          <w:p>
            <w:r>
              <w:t>12</w:t>
            </w:r>
          </w:p>
        </w:tc>
        <w:tc>
          <w:tcPr>
            <w:tcW w:type="dxa" w:w="2493"/>
          </w:tcPr>
          <w:p>
            <w:r>
              <w:t>18</w:t>
            </w:r>
          </w:p>
        </w:tc>
      </w:tr>
      <w:tr>
        <w:tc>
          <w:tcPr>
            <w:tcW w:type="dxa" w:w="2493"/>
          </w:tcPr>
          <w:p>
            <w:r>
              <w:t>TC-26</w:t>
            </w:r>
          </w:p>
        </w:tc>
        <w:tc>
          <w:tcPr>
            <w:tcW w:type="dxa" w:w="2493"/>
          </w:tcPr>
          <w:p>
            <w:r>
              <w:t>Ngoại tổng quát, Nội tổng quát</w:t>
            </w:r>
          </w:p>
        </w:tc>
        <w:tc>
          <w:tcPr>
            <w:tcW w:type="dxa" w:w="2493"/>
          </w:tcPr>
          <w:p>
            <w:r>
              <w:t>8</w:t>
            </w:r>
          </w:p>
        </w:tc>
        <w:tc>
          <w:tcPr>
            <w:tcW w:type="dxa" w:w="2493"/>
          </w:tcPr>
          <w:p>
            <w:r>
              <w:t>10</w:t>
            </w:r>
          </w:p>
        </w:tc>
      </w:tr>
      <w:tr>
        <w:tc>
          <w:tcPr>
            <w:tcW w:type="dxa" w:w="2493"/>
          </w:tcPr>
          <w:p>
            <w:r>
              <w:t>TC-27</w:t>
            </w:r>
          </w:p>
        </w:tc>
        <w:tc>
          <w:tcPr>
            <w:tcW w:type="dxa" w:w="2493"/>
          </w:tcPr>
          <w:p>
            <w:r>
              <w:t>Nội tổng quát, Sản – Phụ khoa</w:t>
            </w:r>
          </w:p>
        </w:tc>
        <w:tc>
          <w:tcPr>
            <w:tcW w:type="dxa" w:w="2493"/>
          </w:tcPr>
          <w:p>
            <w:r>
              <w:t>8</w:t>
            </w:r>
          </w:p>
        </w:tc>
        <w:tc>
          <w:tcPr>
            <w:tcW w:type="dxa" w:w="2493"/>
          </w:tcPr>
          <w:p>
            <w:r>
              <w:t>14</w:t>
            </w:r>
          </w:p>
        </w:tc>
      </w:tr>
    </w:tbl>
    <w:p>
      <w:pPr>
        <w:pStyle w:val="Heading1"/>
      </w:pPr>
      <w:r>
        <w:t>3. Hai hạn chế cần phân biệt</w:t>
      </w:r>
    </w:p>
    <w:p>
      <w:r>
        <w:t>Truy xuất: chỉ dùng top 8 theo độ tương đồng vector nên có thể bỏ gói đúng chuyên khoa kỳ vọng. Các biến thể cùng dịch vụ ở hai chi nhánh hoặc trong giờ/ngoài giờ có thể cùng chiếm nhiều vị trí. Chưa có thực nghiệm đối chứng để xác định mức ảnh hưởng riêng của model embedding, văn bản đầu vào và cách chọn ứng viên.</w:t>
      </w:r>
    </w:p>
    <w:p>
      <w:r>
        <w:t>Nội dung lập chỉ mục: 84/96 gói có văn bản đồng bộ vector khác với văn bản được ghép ở bước chuẩn bị ứng viên. Vector hiện dùng mô tả và triệu chứng của gói; phần ghép ứng viên còn bổ sung mô tả và triệu chứng của chuyên khoa. Đây là điểm chưa thống nhất cần kiểm chứng bằng thử nghiệm trước/sau, không phải bằng chứng vector bị hỏng.</w:t>
      </w:r>
    </w:p>
    <w:p>
      <w:r>
        <w:t>Nhãn đánh giá: 12 gói chưa gắn specialtyId. Bài chấm chỉ dựa vào chuyên khoa nên luôn loại các gói này khỏi tập liên quan. Ví dụ TC-09/TC-10 nhận gói kiểm tra sức khỏe phụ nữ toàn diện và TC-15 nhận gói tầm soát cườm nước/bệnh lý võng mạc, nhưng chúng không được tính liên quan vì thiếu specialtyId. Không đủ căn cứ kết luận các gói này không phù hợp y khoa; cần nhãn cấp gói hoặc ánh xạ chuyên khoa có kiểm duyệt.</w:t>
      </w:r>
    </w:p>
    <w:p>
      <w:pPr>
        <w:pStyle w:val="Heading1"/>
      </w:pPr>
      <w:r>
        <w:t>4. Hướng xử lý đề xuất</w:t>
      </w:r>
    </w:p>
    <w:p>
      <w:pPr>
        <w:pStyle w:val="ListBullet"/>
      </w:pPr>
      <w:r>
        <w:t>Thống nhất nội dung tạo vector giữa luồng đồng bộ và luồng truy xuất; kiểm tra đủ dữ liệu chuyên khoa trước khi tạo lại vector.</w:t>
      </w:r>
    </w:p>
    <w:p>
      <w:pPr>
        <w:pStyle w:val="ListBullet"/>
      </w:pPr>
      <w:r>
        <w:t>Thử nghiệm truy xuất kết hợp từ khóa/triệu chứng và vector, kiểm soát các biến thể trùng dịch vụ trong số ứng viên; so sánh trên bộ ca cố định và bộ kiểm tra riêng.</w:t>
      </w:r>
    </w:p>
    <w:p>
      <w:pPr>
        <w:pStyle w:val="ListBullet"/>
      </w:pPr>
      <w:r>
        <w:t>Hoàn thiện nhãn liên quan ở cấp gói, bao gồm gói đa chuyên khoa. Không tự gán nhãn chỉ để tăng điểm.</w:t>
      </w:r>
    </w:p>
    <w:p>
      <w:pPr>
        <w:pStyle w:val="ListBullet"/>
      </w:pPr>
      <w:r>
        <w:t>Giữ nguyên báo cáo cũ làm kết quả của phiên bản đã đo. Nếu sửa hệ thống hoặc nhãn, chạy lần đánh giá mới và trình bày riêng.</w:t>
      </w:r>
    </w:p>
    <w:p>
      <w:r>
        <w:t>Bằng chứng: retrieval-audit.json; công cụ: scripts/audit-recommendation-retrieval.cjs. Chỉ gọi embedding để truy vết, không gọi LLM rerank, không sửa dữ liệu danh mục hoặc thuật toán sản phẩm.</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