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CHUYÊN ĐỀ HỌC TẬP HÓA HỌC 11</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1 – 11</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12 – 13</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14 – 17</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Câu 18 – 18</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19 – 22</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23 – 24</w:t>
            </w:r>
          </w:p>
        </w:tc>
      </w:tr>
      <w:tr>
        <w:tc>
          <w:tcPr>
            <w:tcW w:type="dxa" w:w="1458"/>
          </w:tcPr>
          <w:p>
            <w:pPr>
              <w:spacing w:before="30" w:after="30"/>
            </w:pPr>
            <w:r>
              <w:rPr>
                <w:rFonts w:ascii="Times New Roman" w:hAnsi="Times New Roman"/>
                <w:b/>
                <w:sz w:val="19"/>
              </w:rPr>
              <w:t>Chuyên đề 11.1: Phân bón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25 – 28</w:t>
            </w:r>
          </w:p>
        </w:tc>
      </w:tr>
      <w:tr>
        <w:tc>
          <w:tcPr>
            <w:tcW w:type="dxa" w:w="1458"/>
          </w:tcPr>
          <w:p>
            <w:pPr>
              <w:spacing w:before="30" w:after="30"/>
            </w:pPr>
            <w:r>
              <w:rPr>
                <w:rFonts w:ascii="Times New Roman" w:hAnsi="Times New Roman"/>
                <w:b/>
                <w:sz w:val="19"/>
              </w:rPr>
              <w:t>Chuyên đề 11.2: Trải nghiệm thực hành hóa học hữu cơ</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Câu 29 – 29</w:t>
            </w:r>
          </w:p>
        </w:tc>
      </w:tr>
      <w:tr>
        <w:tc>
          <w:tcPr>
            <w:tcW w:type="dxa" w:w="1458"/>
          </w:tcPr>
          <w:p>
            <w:pPr>
              <w:spacing w:before="30" w:after="30"/>
            </w:pPr>
            <w:r>
              <w:rPr>
                <w:rFonts w:ascii="Times New Roman" w:hAnsi="Times New Roman"/>
                <w:b/>
                <w:sz w:val="19"/>
              </w:rPr>
              <w:t>Chuyên đề 11.3: Dầu mỏ và chế biến dầu mỏ</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Câu 30 – 31</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5</w:t>
            </w:r>
          </w:p>
        </w:tc>
        <w:tc>
          <w:tcPr>
            <w:tcW w:type="dxa" w:w="1458"/>
          </w:tcPr>
          <w:p>
            <w:pPr>
              <w:spacing w:before="40" w:after="40"/>
              <w:jc w:val="center"/>
            </w:pPr>
            <w:r>
              <w:rPr>
                <w:rFonts w:ascii="Times New Roman" w:hAnsi="Times New Roman"/>
                <w:b/>
                <w:color w:val="D32F2F"/>
                <w:sz w:val="20"/>
              </w:rPr>
              <w:t>5</w:t>
            </w:r>
          </w:p>
        </w:tc>
        <w:tc>
          <w:tcPr>
            <w:tcW w:type="dxa" w:w="1458"/>
          </w:tcPr>
          <w:p>
            <w:pPr>
              <w:spacing w:before="40" w:after="40"/>
              <w:jc w:val="center"/>
            </w:pPr>
            <w:r>
              <w:rPr>
                <w:rFonts w:ascii="Times New Roman" w:hAnsi="Times New Roman"/>
                <w:b/>
                <w:color w:val="D32F2F"/>
                <w:sz w:val="20"/>
              </w:rPr>
              <w:t>21</w:t>
            </w:r>
          </w:p>
        </w:tc>
        <w:tc>
          <w:tcPr>
            <w:tcW w:type="dxa" w:w="1458"/>
          </w:tcPr>
          <w:p>
            <w:pPr>
              <w:spacing w:before="40" w:after="40"/>
              <w:jc w:val="center"/>
            </w:pPr>
            <w:r>
              <w:rPr>
                <w:rFonts w:ascii="Times New Roman" w:hAnsi="Times New Roman"/>
                <w:b/>
                <w:color w:val="D32F2F"/>
                <w:sz w:val="20"/>
              </w:rPr>
              <w:t>31</w:t>
            </w:r>
          </w:p>
        </w:tc>
        <w:tc>
          <w:tcPr>
            <w:tcW w:type="dxa" w:w="1458"/>
          </w:tcPr>
          <w:p>
            <w:pPr>
              <w:spacing w:before="40" w:after="40"/>
              <w:jc w:val="center"/>
            </w:pPr>
            <w:r>
              <w:rPr>
                <w:rFonts w:ascii="Times New Roman" w:hAnsi="Times New Roman"/>
                <w:b/>
                <w:color w:val="D32F2F"/>
                <w:sz w:val="20"/>
              </w:rPr>
              <w:t>1 – 31</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[H11-CDHT-P1-NB-001 | Biết] </w:t>
      </w:r>
      <w:r>
        <w:rPr>
          <w:rFonts w:ascii="Times New Roman" w:hAnsi="Times New Roman"/>
          <w:b/>
          <w:color w:val="1565C0"/>
          <w:sz w:val="21"/>
        </w:rPr>
        <w:t xml:space="preserve">[Sở Quảng Ninh – 2026 – Lần 1] </w:t>
      </w:r>
      <w:r>
        <w:rPr>
          <w:rFonts w:ascii="Times New Roman" w:hAnsi="Times New Roman"/>
          <w:b w:val="0"/>
          <w:i w:val="0"/>
          <w:sz w:val="23"/>
          <w:u w:val="none"/>
        </w:rPr>
        <w:t>Các nguyên tố dinh dưỡng cho cây trồng được chia thành 3 nhóm:</w:t>
        <w:br/>
        <w:t>Nhóm đa lượng: Cây cần lượng lớn, gồm N, P, K.</w:t>
        <w:br/>
        <w:t>Nhóm trung lượng: Cây cần lượng vừa phải, gồm Ca, Mg, S.</w:t>
        <w:br/>
        <w:t>Nhóm vi lượng: Cây cần lượng rất nhỏ, gồm Fe, Zn, Cu,</w:t>
        <w:tab/>
        <w:t>B...</w:t>
        <w:br/>
        <w:t>Một loại phân bón hỗn hợp NPK cung cấp đồng thời ba nguyên tố Nitrogen (N), Phosphorus (P) và Potassium (K). Các nguyên tố này thuộc nhóm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nguyên tố đa lượng.</w:t>
      </w:r>
      <w:r>
        <w:tab/>
      </w:r>
      <w:r>
        <w:rPr>
          <w:rFonts w:ascii="Times New Roman" w:hAnsi="Times New Roman"/>
          <w:b/>
          <w:sz w:val="23"/>
          <w:u w:val="none"/>
        </w:rPr>
        <w:t xml:space="preserve">B. </w:t>
      </w:r>
      <w:r>
        <w:rPr>
          <w:rFonts w:ascii="Times New Roman" w:hAnsi="Times New Roman"/>
          <w:b w:val="0"/>
          <w:i w:val="0"/>
          <w:sz w:val="23"/>
          <w:u w:val="none"/>
        </w:rPr>
        <w:t>Nhóm nguyên tố vi lượng.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nguyên tố trung lượng.</w:t>
      </w:r>
      <w:r>
        <w:tab/>
      </w:r>
      <w:r>
        <w:rPr>
          <w:rFonts w:ascii="Times New Roman" w:hAnsi="Times New Roman"/>
          <w:b/>
          <w:sz w:val="23"/>
          <w:u w:val="none"/>
        </w:rPr>
        <w:t xml:space="preserve">D. </w:t>
      </w:r>
      <w:r>
        <w:rPr>
          <w:rFonts w:ascii="Times New Roman" w:hAnsi="Times New Roman"/>
          <w:b w:val="0"/>
          <w:i w:val="0"/>
          <w:sz w:val="23"/>
          <w:u w:val="none"/>
        </w:rPr>
        <w:t>Nhóm nguyên tố quý hiếm.</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[H11-CDHT-P1-NB-002 | Biết] </w:t>
      </w:r>
      <w:r>
        <w:rPr>
          <w:rFonts w:ascii="Times New Roman" w:hAnsi="Times New Roman"/>
          <w:b/>
          <w:color w:val="1565C0"/>
          <w:sz w:val="21"/>
        </w:rPr>
        <w:t xml:space="preserve">[Sở Ninh Bình – 2026 – Lần 4] </w:t>
      </w:r>
      <w:r>
        <w:rPr>
          <w:rFonts w:ascii="Times New Roman" w:hAnsi="Times New Roman"/>
          <w:b w:val="0"/>
          <w:i w:val="0"/>
          <w:sz w:val="23"/>
          <w:u w:val="none"/>
        </w:rPr>
        <w:t>Ammonium sulfate được sử dụng làm phân bón hoá học thuộc loại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hỗn hợp.</w:t>
      </w:r>
      <w:r>
        <w:tab/>
      </w:r>
      <w:r>
        <w:rPr>
          <w:rFonts w:ascii="Times New Roman" w:hAnsi="Times New Roman"/>
          <w:b/>
          <w:sz w:val="23"/>
          <w:u w:val="none"/>
        </w:rPr>
        <w:t xml:space="preserve">B. </w:t>
      </w:r>
      <w:r>
        <w:rPr>
          <w:rFonts w:ascii="Times New Roman" w:hAnsi="Times New Roman"/>
          <w:b w:val="0"/>
          <w:i w:val="0"/>
          <w:sz w:val="23"/>
          <w:u w:val="none"/>
        </w:rPr>
        <w:t>Phân kali.</w:t>
      </w:r>
      <w:r>
        <w:tab/>
      </w:r>
      <w:r>
        <w:rPr>
          <w:rFonts w:ascii="Times New Roman" w:hAnsi="Times New Roman"/>
          <w:b/>
          <w:sz w:val="23"/>
          <w:u w:val="none"/>
        </w:rPr>
        <w:t xml:space="preserve">C. </w:t>
      </w:r>
      <w:r>
        <w:rPr>
          <w:rFonts w:ascii="Times New Roman" w:hAnsi="Times New Roman"/>
          <w:b w:val="0"/>
          <w:i w:val="0"/>
          <w:sz w:val="23"/>
          <w:u w:val="none"/>
        </w:rPr>
        <w:t>Phân đạm.</w:t>
      </w:r>
      <w:r>
        <w:tab/>
      </w:r>
      <w:r>
        <w:rPr>
          <w:rFonts w:ascii="Times New Roman" w:hAnsi="Times New Roman"/>
          <w:b/>
          <w:sz w:val="23"/>
          <w:u w:val="none"/>
        </w:rPr>
        <w:t xml:space="preserve">D. </w:t>
      </w:r>
      <w:r>
        <w:rPr>
          <w:rFonts w:ascii="Times New Roman" w:hAnsi="Times New Roman"/>
          <w:b w:val="0"/>
          <w:i w:val="0"/>
          <w:sz w:val="23"/>
          <w:u w:val="none"/>
        </w:rPr>
        <w:t>Phân lân.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[H11-CDHT-P1-NB-003 | Biết] </w:t>
      </w:r>
      <w:r>
        <w:rPr>
          <w:rFonts w:ascii="Times New Roman" w:hAnsi="Times New Roman"/>
          <w:b/>
          <w:color w:val="1565C0"/>
          <w:sz w:val="21"/>
        </w:rPr>
        <w:t xml:space="preserve">[Sở Lâm Đồng – 2026] </w:t>
      </w:r>
      <w:r>
        <w:rPr>
          <w:rFonts w:ascii="Times New Roman" w:hAnsi="Times New Roman"/>
          <w:b w:val="0"/>
          <w:i w:val="0"/>
          <w:sz w:val="23"/>
          <w:u w:val="none"/>
        </w:rPr>
        <w:t>Phân đạm là phân bón vô cơ cung cấp nitrogen cho cây trồng, thúc đẩy quá trình tăng trưởng của cây, tăng năng suất. Chất nào sau đây là thành phần chính của một loại phân đạm?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[H11-CDHT-P1-NB-004 | Biết] </w:t>
      </w:r>
      <w:r>
        <w:rPr>
          <w:rFonts w:ascii="Times New Roman" w:hAnsi="Times New Roman"/>
          <w:b/>
          <w:color w:val="1565C0"/>
          <w:sz w:val="21"/>
        </w:rPr>
        <w:t xml:space="preserve">[Sở Đồng Nai – 2026 – Lần 2] </w:t>
      </w:r>
      <w:r>
        <w:rPr>
          <w:rFonts w:ascii="Times New Roman" w:hAnsi="Times New Roman"/>
          <w:b w:val="0"/>
          <w:i w:val="0"/>
          <w:sz w:val="23"/>
          <w:u w:val="none"/>
        </w:rPr>
        <w:t>Phân lân supephotphat kép chứa thành phần chủ yếu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Ca(H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[H11-CDHT-P1-NB-005 | Biết] </w:t>
      </w:r>
      <w:r>
        <w:rPr>
          <w:rFonts w:ascii="Times New Roman" w:hAnsi="Times New Roman"/>
          <w:b/>
          <w:color w:val="1565C0"/>
          <w:sz w:val="21"/>
        </w:rPr>
        <w:t xml:space="preserve">[Sở Thanh Hóa – 2026 – Lần 2] </w:t>
      </w:r>
      <w:r>
        <w:rPr>
          <w:rFonts w:ascii="Times New Roman" w:hAnsi="Times New Roman"/>
          <w:b w:val="0"/>
          <w:i w:val="0"/>
          <w:sz w:val="23"/>
          <w:u w:val="none"/>
        </w:rPr>
        <w:t>Hợp chất nào sau đây là thành phần chính trong phân bón superphosphate?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[H11-CDHT-P1-TH-006 | Hiểu] </w:t>
      </w:r>
      <w:r>
        <w:rPr>
          <w:rFonts w:ascii="Times New Roman" w:hAnsi="Times New Roman"/>
          <w:b/>
          <w:color w:val="1565C0"/>
          <w:sz w:val="21"/>
        </w:rPr>
        <w:t xml:space="preserve">[Sở TP Huế – 2026 – Lần 1] </w:t>
      </w:r>
      <w:r>
        <w:rPr>
          <w:rFonts w:ascii="Times New Roman" w:hAnsi="Times New Roman"/>
          <w:b w:val="0"/>
          <w:i w:val="0"/>
          <w:sz w:val="23"/>
          <w:u w:val="none"/>
        </w:rPr>
        <w:t>Việc thiếu các nguyên tố dinh dưỡng sẽ tác động xấu đến sự sinh trưởng của cây. Cây thiếu nguyên tố nitrogen, lá sẽ bắt đầu úa vàng từ đỉnh. Để khắc phục tình trạng này, cần bón cho cây loại phân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potassium chloride.</w:t>
      </w:r>
      <w:r>
        <w:tab/>
      </w:r>
      <w:r>
        <w:rPr>
          <w:rFonts w:ascii="Times New Roman" w:hAnsi="Times New Roman"/>
          <w:b/>
          <w:sz w:val="23"/>
          <w:u w:val="none"/>
        </w:rPr>
        <w:t xml:space="preserve">B. </w:t>
      </w:r>
      <w:r>
        <w:rPr>
          <w:rFonts w:ascii="Times New Roman" w:hAnsi="Times New Roman"/>
          <w:b w:val="0"/>
          <w:i w:val="0"/>
          <w:sz w:val="23"/>
          <w:u w:val="none"/>
        </w:rPr>
        <w:t>Phân đạm urea.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potassium sulfate.</w:t>
      </w:r>
      <w:r>
        <w:tab/>
      </w:r>
      <w:r>
        <w:rPr>
          <w:rFonts w:ascii="Times New Roman" w:hAnsi="Times New Roman"/>
          <w:b/>
          <w:sz w:val="23"/>
          <w:u w:val="none"/>
        </w:rPr>
        <w:t xml:space="preserve">D. </w:t>
      </w:r>
      <w:r>
        <w:rPr>
          <w:rFonts w:ascii="Times New Roman" w:hAnsi="Times New Roman"/>
          <w:b w:val="0"/>
          <w:i w:val="0"/>
          <w:sz w:val="23"/>
          <w:u w:val="none"/>
        </w:rPr>
        <w:t>Phân superphosphate.</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[H11-CDHT-P1-TH-007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Trong quá trình bón phân, người nông dân được khuyến cáo không bón phân super phosphate kép cùng lúc với vôi nông nghiệp. Lý do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tạo ra khí độc hại cho cây trồng.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thúc đẩy quá trình phân hủy chất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độ mặn trong đất.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tạo kết tủa làm giảm hiệu quả phân bón.</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[H11-CDHT-P1-TH-008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Trong nông nghiệp, người nông dân được khuyến cáo không bón phân urea (chứa NH</w:t>
      </w:r>
      <w:r>
        <w:rPr>
          <w:rFonts w:ascii="Times New Roman" w:hAnsi="Times New Roman"/>
          <w:b w:val="0"/>
          <w:i w:val="0"/>
          <w:sz w:val="23"/>
          <w:u w:val="none"/>
          <w:vertAlign w:val="subscript"/>
        </w:rPr>
        <w:t>2</w:t>
      </w:r>
      <w:r>
        <w:rPr>
          <w:rFonts w:ascii="Times New Roman" w:hAnsi="Times New Roman"/>
          <w:b w:val="0"/>
          <w:i w:val="0"/>
          <w:sz w:val="23"/>
          <w:u w:val="none"/>
        </w:rPr>
        <w:t>CONH</w:t>
      </w:r>
      <w:r>
        <w:rPr>
          <w:rFonts w:ascii="Times New Roman" w:hAnsi="Times New Roman"/>
          <w:b w:val="0"/>
          <w:i w:val="0"/>
          <w:sz w:val="23"/>
          <w:u w:val="none"/>
          <w:vertAlign w:val="subscript"/>
        </w:rPr>
        <w:t>2</w:t>
      </w:r>
      <w:r>
        <w:rPr>
          <w:rFonts w:ascii="Times New Roman" w:hAnsi="Times New Roman"/>
          <w:b w:val="0"/>
          <w:i w:val="0"/>
          <w:sz w:val="23"/>
          <w:u w:val="none"/>
        </w:rPr>
        <w:t>) cùng lúc với vôi sống (CaO). Nguyên nhân của khuyến cáo này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mất đạm do giải phóng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tạo thành hợp chất làm giảm độ pH của đất.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ra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gây hại cho cây trồng.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làm tăng độ kiềm của đất.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[H11-CDHT-P1-TH-009 | Hiểu] </w:t>
      </w:r>
      <w:r>
        <w:rPr>
          <w:rFonts w:ascii="Times New Roman" w:hAnsi="Times New Roman"/>
          <w:b/>
          <w:color w:val="1565C0"/>
          <w:sz w:val="21"/>
        </w:rPr>
        <w:t xml:space="preserve">[Cụm 9 sở Hà Nội – 2026 – Lần 2] </w:t>
      </w:r>
      <w:r>
        <w:rPr>
          <w:rFonts w:ascii="Times New Roman" w:hAnsi="Times New Roman"/>
          <w:b w:val="0"/>
          <w:i w:val="0"/>
          <w:sz w:val="23"/>
          <w:u w:val="none"/>
        </w:rPr>
        <w:t>Đất ở một số vùng trồng lúa ở nước ta có tính chua do dư acid (chứa nhiều ion H</w:t>
      </w:r>
      <w:r>
        <w:rPr>
          <w:rFonts w:ascii="Times New Roman" w:hAnsi="Times New Roman"/>
          <w:b w:val="0"/>
          <w:i w:val="0"/>
          <w:sz w:val="23"/>
          <w:u w:val="none"/>
          <w:vertAlign w:val="superscript"/>
        </w:rPr>
        <w:t>+</w:t>
      </w:r>
      <w:r>
        <w:rPr>
          <w:rFonts w:ascii="Times New Roman" w:hAnsi="Times New Roman"/>
          <w:b w:val="0"/>
          <w:i w:val="0"/>
          <w:sz w:val="23"/>
          <w:u w:val="none"/>
        </w:rPr>
        <w:t>). Để cải tạo đất chua, người nông dân nên bón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CaCO</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[H11-CDHT-P1-TH-010 | Hiểu] </w:t>
      </w:r>
      <w:r>
        <w:rPr>
          <w:rFonts w:ascii="Times New Roman" w:hAnsi="Times New Roman"/>
          <w:b/>
          <w:color w:val="1565C0"/>
          <w:sz w:val="21"/>
        </w:rPr>
        <w:t xml:space="preserve">[Sở Hà Tĩnh – 2026 – Lần 1] </w:t>
      </w:r>
      <w:r>
        <w:rPr>
          <w:rFonts w:ascii="Times New Roman" w:hAnsi="Times New Roman"/>
          <w:b w:val="0"/>
          <w:i w:val="0"/>
          <w:sz w:val="23"/>
          <w:u w:val="none"/>
        </w:rPr>
        <w:t>Hàng năm nhà máy phân bón sản xuất khoảng 560 000 tấn urea cung cấp ra thị trường. Quá trình sản xuất urea thực hiện theo phản ứng tổng quát sau:</w:t>
        <w:br/>
        <w:t>CO</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(g) ¾t¾o,pc</w:t>
      </w:r>
      <w:r>
        <w:rPr>
          <w:rFonts w:ascii="Times New Roman" w:hAnsi="Times New Roman"/>
          <w:b w:val="0"/>
          <w:i w:val="0"/>
          <w:sz w:val="23"/>
          <w:u w:val="none"/>
          <w:vertAlign w:val="superscript"/>
        </w:rPr>
        <w:t>a</w:t>
      </w:r>
      <w:r>
        <w:rPr>
          <w:rFonts w:ascii="Times New Roman" w:hAnsi="Times New Roman"/>
          <w:b w:val="0"/>
          <w:i w:val="0"/>
          <w:sz w:val="23"/>
          <w:u w:val="none"/>
        </w:rPr>
        <w:t>o¾¾→ CO(NH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Dựa vào công nghệ tuần hoàn mà hiệu suất quá trình tổng hợp tại nhà máy đạt khoảng 98%. Khối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sử dụng để sản xuất được lượng urea trên gần nhất với giá trị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340 000 tấn.</w:t>
      </w:r>
      <w:r>
        <w:tab/>
      </w:r>
      <w:r>
        <w:rPr>
          <w:rFonts w:ascii="Times New Roman" w:hAnsi="Times New Roman"/>
          <w:b/>
          <w:sz w:val="23"/>
          <w:u w:val="none"/>
        </w:rPr>
        <w:t xml:space="preserve">B. </w:t>
      </w:r>
      <w:r>
        <w:rPr>
          <w:rFonts w:ascii="Times New Roman" w:hAnsi="Times New Roman"/>
          <w:b w:val="0"/>
          <w:i w:val="0"/>
          <w:sz w:val="23"/>
          <w:u w:val="none"/>
        </w:rPr>
        <w:t>323 800 tấn.</w:t>
      </w:r>
      <w:r>
        <w:tab/>
      </w:r>
      <w:r>
        <w:rPr>
          <w:rFonts w:ascii="Times New Roman" w:hAnsi="Times New Roman"/>
          <w:b/>
          <w:sz w:val="23"/>
          <w:u w:val="none"/>
        </w:rPr>
        <w:t xml:space="preserve">C. </w:t>
      </w:r>
      <w:r>
        <w:rPr>
          <w:rFonts w:ascii="Times New Roman" w:hAnsi="Times New Roman"/>
          <w:b w:val="0"/>
          <w:i w:val="0"/>
          <w:sz w:val="23"/>
          <w:u w:val="none"/>
        </w:rPr>
        <w:t>312 000 tấn.</w:t>
      </w:r>
      <w:r>
        <w:tab/>
      </w:r>
      <w:r>
        <w:rPr>
          <w:rFonts w:ascii="Times New Roman" w:hAnsi="Times New Roman"/>
          <w:b/>
          <w:sz w:val="23"/>
          <w:u w:val="none"/>
        </w:rPr>
        <w:t xml:space="preserve">D. </w:t>
      </w:r>
      <w:r>
        <w:rPr>
          <w:rFonts w:ascii="Times New Roman" w:hAnsi="Times New Roman"/>
          <w:b w:val="0"/>
          <w:i w:val="0"/>
          <w:sz w:val="23"/>
          <w:u w:val="none"/>
        </w:rPr>
        <w:t>364 800 tấn.</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[H11-CDHT-P1-VD-011 | Vận dụng] </w:t>
      </w:r>
      <w:r>
        <w:rPr>
          <w:rFonts w:ascii="Times New Roman" w:hAnsi="Times New Roman"/>
          <w:b/>
          <w:color w:val="1565C0"/>
          <w:sz w:val="21"/>
        </w:rPr>
        <w:t xml:space="preserve">[Chuyên Trần Đại Nghĩa – 2026] </w:t>
      </w:r>
      <w:r>
        <w:rPr>
          <w:rFonts w:ascii="Times New Roman" w:hAnsi="Times New Roman"/>
          <w:b w:val="0"/>
          <w:i w:val="0"/>
          <w:sz w:val="23"/>
          <w:u w:val="none"/>
        </w:rPr>
        <w:t>Trên bao bì một loại phân bón NPK của công ty phân bón nông nghiệp có ghi độ dinh dưỡng là 20 – 20 – 15. Để cung cấp 135,780 kg nitrogen; 15,500 kg phosphorus và 33,545 kg potassium cho 10000 m</w:t>
      </w:r>
      <w:r>
        <w:rPr>
          <w:rFonts w:ascii="Times New Roman" w:hAnsi="Times New Roman"/>
          <w:b w:val="0"/>
          <w:i w:val="0"/>
          <w:sz w:val="23"/>
          <w:u w:val="none"/>
          <w:vertAlign w:val="superscript"/>
        </w:rPr>
        <w:t>2</w:t>
      </w:r>
      <w:r>
        <w:rPr>
          <w:rFonts w:ascii="Times New Roman" w:hAnsi="Times New Roman"/>
          <w:b w:val="0"/>
          <w:i w:val="0"/>
          <w:sz w:val="23"/>
          <w:u w:val="none"/>
        </w:rPr>
        <w:t xml:space="preserve"> đất trồng thì người nông dân cần trộn đồng thời phân NPK (ở trên) với đạm urea (độ dinh dưỡng là 46%) và phân kali (độ dinh dưỡng là 60%). Cho rằng mỗi m</w:t>
      </w:r>
      <w:r>
        <w:rPr>
          <w:rFonts w:ascii="Times New Roman" w:hAnsi="Times New Roman"/>
          <w:b w:val="0"/>
          <w:i w:val="0"/>
          <w:sz w:val="23"/>
          <w:u w:val="none"/>
          <w:vertAlign w:val="superscript"/>
        </w:rPr>
        <w:t>2</w:t>
      </w:r>
      <w:r>
        <w:rPr>
          <w:rFonts w:ascii="Times New Roman" w:hAnsi="Times New Roman"/>
          <w:b w:val="0"/>
          <w:i w:val="0"/>
          <w:sz w:val="23"/>
          <w:u w:val="none"/>
        </w:rPr>
        <w:t xml:space="preserve"> đất trồng đều được bón với lượng phân như nhau. Nếu người nông dân sử dụng 167,4 kg phân bón vừa trộn ở trên thì diện tích đất trồng được bón phân là bao nhiêu m</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2500 m</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2000 m</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4000 m</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3500 m</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[H11-CDHT-P1-VD-012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Glucosamine được coi là monomer của chitosan và thường sử dụng ở hai dạng phổ biến như glucosamine hydrochloride và glucosamine sulfate. Một nhóm học sinh tìm hiểu phương pháp điều chế glucosamine hydrochloride từ nguyên liệu có sẵn tại địa phương gồm: than hoạt tính từ vỏ gáo dừa, vỏ tôm, xương lợn, da trâu.</w:t>
        <w:br/>
        <w:t>Nguyên liệu phù hợp nhất trong các nguyên liệu trên để điều chế glucosamine hydrochloride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vỏ tôm sấy khô.</w:t>
      </w:r>
      <w:r>
        <w:tab/>
      </w:r>
      <w:r>
        <w:rPr>
          <w:rFonts w:ascii="Times New Roman" w:hAnsi="Times New Roman"/>
          <w:b/>
          <w:sz w:val="23"/>
          <w:u w:val="none"/>
        </w:rPr>
        <w:t xml:space="preserve">B. </w:t>
      </w:r>
      <w:r>
        <w:rPr>
          <w:rFonts w:ascii="Times New Roman" w:hAnsi="Times New Roman"/>
          <w:b w:val="0"/>
          <w:i w:val="0"/>
          <w:sz w:val="23"/>
          <w:u w:val="none"/>
        </w:rPr>
        <w:t>than hoạt tính từ vỏ gáo dừa.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xương lợn khô.</w:t>
      </w:r>
      <w:r>
        <w:tab/>
      </w:r>
      <w:r>
        <w:rPr>
          <w:rFonts w:ascii="Times New Roman" w:hAnsi="Times New Roman"/>
          <w:b/>
          <w:sz w:val="23"/>
          <w:u w:val="none"/>
        </w:rPr>
        <w:t xml:space="preserve">D. </w:t>
      </w:r>
      <w:r>
        <w:rPr>
          <w:rFonts w:ascii="Times New Roman" w:hAnsi="Times New Roman"/>
          <w:b w:val="0"/>
          <w:i w:val="0"/>
          <w:sz w:val="23"/>
          <w:u w:val="none"/>
        </w:rPr>
        <w:t>da trâu sấy khô.</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[H11-CDHT-P1-VD-013 | Vận dụng] </w:t>
      </w:r>
      <w:r>
        <w:rPr>
          <w:rFonts w:ascii="Times New Roman" w:hAnsi="Times New Roman"/>
          <w:b/>
          <w:color w:val="1565C0"/>
          <w:sz w:val="21"/>
        </w:rPr>
        <w:t xml:space="preserve">[Sở Sơn La – 2026 – Lần 2] </w:t>
      </w:r>
      <w:r>
        <w:rPr>
          <w:rFonts w:ascii="Times New Roman" w:hAnsi="Times New Roman"/>
          <w:b w:val="0"/>
          <w:i w:val="0"/>
          <w:sz w:val="23"/>
          <w:u w:val="none"/>
        </w:rPr>
        <w:t>Thực hiện thí nghiệm tách β-carotene từ nước ép cà rốt theo các bước sau:</w:t>
        <w:br/>
        <w:t>Bước 1: Cho khoảng 20 mL nước ép cà rốt vào phễu chiết. Thêm tiếp khoảng 20 mL hexane, lắc đều khoảng 2 phút.</w:t>
        <w:br/>
        <w:t>Bước 2: Để yên phễu chiết trên giá thí nghiệm khoảng 5 phút cho chất lỏng tách thành hai lớp.</w:t>
        <w:br/>
        <w:t>Bước 3: Mở khoá phễu chiết cho phần nước ở dưới chảy xuống, còn lại phần dung dịch β-carotene hoà tan trong hexane.</w:t>
        <w:br/>
        <w:t>Cho các phát biểu sau:</w:t>
        <w:br/>
        <w:t>(a) Phương pháp được sử dụng để tách β-carotene trong thí nghiệm này là phương pháp chiết lỏng - lỏng.</w:t>
        <w:br/>
        <w:t>(b) β-carotene phân cực mạnh nên tan tốt trong nước hơn là trong dung môi hexane.</w:t>
        <w:br/>
        <w:t>(c) Ở bước 2, lớp chất lỏng nhẹ hơn nằm phía trên trong phễu chiết là dung dịch β-carotene trong hexane.</w:t>
        <w:br/>
        <w:t>(d) Ở bước 3, phần dung dịch β-carotene hoà tan trong hexane có màu vàng cam.</w:t>
        <w:br/>
        <w:t>Các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(a), (c), (d).</w:t>
      </w:r>
      <w:r>
        <w:tab/>
      </w:r>
      <w:r>
        <w:rPr>
          <w:rFonts w:ascii="Times New Roman" w:hAnsi="Times New Roman"/>
          <w:b/>
          <w:sz w:val="23"/>
          <w:u w:val="none"/>
        </w:rPr>
        <w:t xml:space="preserve">C. </w:t>
      </w:r>
      <w:r>
        <w:rPr>
          <w:rFonts w:ascii="Times New Roman" w:hAnsi="Times New Roman"/>
          <w:b w:val="0"/>
          <w:i w:val="0"/>
          <w:sz w:val="23"/>
          <w:u w:val="none"/>
        </w:rPr>
        <w:t>(b), (c), (d).</w:t>
      </w:r>
      <w:r>
        <w:tab/>
      </w:r>
      <w:r>
        <w:rPr>
          <w:rFonts w:ascii="Times New Roman" w:hAnsi="Times New Roman"/>
          <w:b/>
          <w:sz w:val="23"/>
          <w:u w:val="none"/>
        </w:rPr>
        <w:t xml:space="preserve">D. </w:t>
      </w:r>
      <w:r>
        <w:rPr>
          <w:rFonts w:ascii="Times New Roman" w:hAnsi="Times New Roman"/>
          <w:b w:val="0"/>
          <w:i w:val="0"/>
          <w:sz w:val="23"/>
          <w:u w:val="none"/>
        </w:rPr>
        <w:t>(a), (b), (c).</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[H11-CDHT-P1-VD-014 | Vận dụng] </w:t>
      </w:r>
      <w:r>
        <w:rPr>
          <w:rFonts w:ascii="Times New Roman" w:hAnsi="Times New Roman"/>
          <w:b/>
          <w:color w:val="1565C0"/>
          <w:sz w:val="21"/>
        </w:rPr>
        <w:t xml:space="preserve">[Sở Nghệ An – 2026 – Lần 3] </w:t>
      </w:r>
      <w:r>
        <w:rPr>
          <w:rFonts w:ascii="Times New Roman" w:hAnsi="Times New Roman"/>
          <w:b w:val="0"/>
          <w:i w:val="0"/>
          <w:sz w:val="23"/>
          <w:u w:val="none"/>
        </w:rPr>
        <w:t>Chỉ số octane là một đại lượng quy ước để đặc trưng cho khả năng chống kích nổ của nhiên liệu. Chỉ số octane của isooctane (2,2,4−trimethylpentane) được quy ước là 100, một số hydrocarbon và alcohol khi pha trộn vào xăng có chỉ số octane được cho trong bảng sau:</w:t>
        <w:br/>
        <w:t>Số chất trong bảng có chỉ số octane cao hơn isooctane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[H11-CDHT-P1-VD-015 | Vận dụng] </w:t>
      </w:r>
      <w:r>
        <w:rPr>
          <w:rFonts w:ascii="Times New Roman" w:hAnsi="Times New Roman"/>
          <w:b/>
          <w:color w:val="1565C0"/>
          <w:sz w:val="21"/>
        </w:rPr>
        <w:t xml:space="preserve">[THPT Triệu Sơn 1 – 2026 – Lần 2] </w:t>
      </w:r>
      <w:r>
        <w:rPr>
          <w:rFonts w:ascii="Times New Roman" w:hAnsi="Times New Roman"/>
          <w:b w:val="0"/>
          <w:i w:val="0"/>
          <w:sz w:val="23"/>
          <w:u w:val="none"/>
        </w:rPr>
        <w:t>Theo Cơ quan Năng lượng Quốc tế (IEA), cuộc chiến Iran với liên minh Mỹ- Israel đã gây ra sự gián đoạn nguồn cung lớn nhất trong lịch sử thị trường dầu mỏ toàn cầu, với hoạt động vận chuyển qua eo biển Hormuz, chiếm khoảng 20% lượng dầu tiêu thụ toàn cầu, bị giảm mạnh.</w:t>
        <w:br/>
        <w:t>Một số khuyến nghị đưa ra các biện pháp cấp bách để giảm nhu cầu dầu mỏ:</w:t>
        <w:br/>
        <w:t>a) Khuyến khích sử dụng phương tiện giao thông công cộng thay thế xe cá nhân.</w:t>
        <w:br/>
        <w:t>b) Chuyển hướng sử dụng LPG khỏi giao thông vận tải.</w:t>
        <w:br/>
        <w:t>c) Sử dụng bếp điện thay thế cho bếp gas.</w:t>
        <w:br/>
        <w:t>d) Tránh di chuyển bằng đường hàng không nếu có các lựa chọn thay thế.</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[H11-CDHT-P1-VD-016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Xăng là dung môi hữu cơ dễ bay hơi, dễ cháy. Để phòng chống cháy nổ, các kho xăng cần tuân thủ các nguyên tắc và biện pháp an toàn. Cho các biện pháp:</w:t>
        <w:br/>
        <w:t>(a) Lắp đặt hệ thống nối đất chống tĩnh điện cho bồn chứa xăng bằng kim loại.</w:t>
        <w:br/>
        <w:t>(b) Bố trí cảm biến phát hiện hơi xăng.</w:t>
        <w:br/>
        <w:t>(c) Lắp đặt hệ thống thông gió chống cháy nổ chuyên dụng.</w:t>
        <w:br/>
        <w:t>(d) Bố trí các thùng nước gần khu vực chứa xăng để kịp thời dập lửa khi xăng cháy.</w:t>
        <w:br/>
        <w:t>Số biện pháp phù hơp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[H11-CDHT-P1-VD-017 | Vận dụng] </w:t>
      </w:r>
      <w:r>
        <w:rPr>
          <w:rFonts w:ascii="Times New Roman" w:hAnsi="Times New Roman"/>
          <w:b/>
          <w:color w:val="1565C0"/>
          <w:sz w:val="21"/>
        </w:rPr>
        <w:t xml:space="preserve">[Chuyên Lê Hồng Phong HCM - 2026] </w:t>
      </w:r>
      <w:r>
        <w:rPr>
          <w:rFonts w:ascii="Times New Roman" w:hAnsi="Times New Roman"/>
          <w:b w:val="0"/>
          <w:i w:val="0"/>
          <w:sz w:val="23"/>
          <w:u w:val="none"/>
        </w:rPr>
        <w:t>Chỉ số octane là một đại lượng biểu thị khả năng chống kích nổ của nhiên liệu xăng trong động cơ đốt trong. Quy ước isooctane có chỉ số octane bằng 100 và heptane có chỉ số octane bằng 0. Một công ty sản xuất nhiên liệu đang triển khai chiến dịch “Nhiên liệu sạch – Động cơ bền – Môi trường xanh”. Trong chiến dịch này, họ loại bỏ dần các phụ gia chứa chì, nâng cao chỉ số octane của xăng và cung cấp nguồn nhiên liệu thân thiện với môi trường. Có một số giải pháp được đưa ra như sau:</w:t>
        <w:br/>
        <w:t>(a) Sử dụng tetraethyl chì (Pb(C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 làm phụ gia để nâng cao chỉ số octane.</w:t>
        <w:br/>
        <w:t>(b) Tăng hàm lượng heptane để giảm chi phí.</w:t>
        <w:br/>
        <w:t>(c) Sử dụng các quá trình reforming xúc tác để tăng hàm lượng hydrocarbon phân nhánh.</w:t>
        <w:br/>
        <w:t>(d) Phối trộn ethanol vào xăng truyền thống để tạo ra xăng sinh học (E</w:t>
      </w:r>
      <w:r>
        <w:rPr>
          <w:rFonts w:ascii="Times New Roman" w:hAnsi="Times New Roman"/>
          <w:b w:val="0"/>
          <w:i w:val="0"/>
          <w:sz w:val="23"/>
          <w:u w:val="none"/>
          <w:vertAlign w:val="subscript"/>
        </w:rPr>
        <w:t>5</w:t>
      </w:r>
      <w:r>
        <w:rPr>
          <w:rFonts w:ascii="Times New Roman" w:hAnsi="Times New Roman"/>
          <w:b w:val="0"/>
          <w:i w:val="0"/>
          <w:sz w:val="23"/>
          <w:u w:val="none"/>
        </w:rPr>
        <w:t>, E</w:t>
      </w:r>
      <w:r>
        <w:rPr>
          <w:rFonts w:ascii="Times New Roman" w:hAnsi="Times New Roman"/>
          <w:b w:val="0"/>
          <w:i w:val="0"/>
          <w:sz w:val="23"/>
          <w:u w:val="none"/>
          <w:vertAlign w:val="subscript"/>
        </w:rPr>
        <w:t>10</w:t>
      </w:r>
      <w:r>
        <w:rPr>
          <w:rFonts w:ascii="Times New Roman" w:hAnsi="Times New Roman"/>
          <w:b w:val="0"/>
          <w:i w:val="0"/>
          <w:sz w:val="23"/>
          <w:u w:val="none"/>
        </w:rPr>
        <w:t>).</w:t>
        <w:br/>
        <w:t>(e) Thêm các hợp chất chứa lưu huỳnh để làm tăng hiệu suất cháy của nhiên liệu.</w:t>
        <w:br/>
        <w:t>Các giải pháp phù hợp được lựa chọn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 (c), (d).</w:t>
      </w:r>
      <w:r>
        <w:tab/>
      </w:r>
      <w:r>
        <w:rPr>
          <w:rFonts w:ascii="Times New Roman" w:hAnsi="Times New Roman"/>
          <w:b/>
          <w:sz w:val="23"/>
          <w:u w:val="none"/>
        </w:rPr>
        <w:t xml:space="preserve">B. </w:t>
      </w:r>
      <w:r>
        <w:rPr>
          <w:rFonts w:ascii="Times New Roman" w:hAnsi="Times New Roman"/>
          <w:b w:val="0"/>
          <w:i w:val="0"/>
          <w:sz w:val="23"/>
          <w:u w:val="none"/>
        </w:rPr>
        <w:t>(a), (b), (d).</w:t>
      </w:r>
      <w:r>
        <w:tab/>
      </w:r>
      <w:r>
        <w:rPr>
          <w:rFonts w:ascii="Times New Roman" w:hAnsi="Times New Roman"/>
          <w:b/>
          <w:sz w:val="23"/>
          <w:u w:val="none"/>
        </w:rPr>
        <w:t xml:space="preserve">C. </w:t>
      </w:r>
      <w:r>
        <w:rPr>
          <w:rFonts w:ascii="Times New Roman" w:hAnsi="Times New Roman"/>
          <w:b w:val="0"/>
          <w:i w:val="0"/>
          <w:sz w:val="23"/>
          <w:u w:val="none"/>
        </w:rPr>
        <w:t>(c), (d).</w:t>
      </w:r>
      <w:r>
        <w:tab/>
      </w:r>
      <w:r>
        <w:rPr>
          <w:rFonts w:ascii="Times New Roman" w:hAnsi="Times New Roman"/>
          <w:b/>
          <w:sz w:val="23"/>
          <w:u w:val="none"/>
        </w:rPr>
        <w:t xml:space="preserve">D. </w:t>
      </w:r>
      <w:r>
        <w:rPr>
          <w:rFonts w:ascii="Times New Roman" w:hAnsi="Times New Roman"/>
          <w:b w:val="0"/>
          <w:i w:val="0"/>
          <w:sz w:val="23"/>
          <w:u w:val="none"/>
        </w:rPr>
        <w:t>(b), (d), (e).</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[H11-CDHT-P2-VD-018 | Vận dụng] </w:t>
      </w:r>
      <w:r>
        <w:rPr>
          <w:rFonts w:ascii="Times New Roman" w:hAnsi="Times New Roman"/>
          <w:b/>
          <w:color w:val="1565C0"/>
          <w:sz w:val="21"/>
        </w:rPr>
        <w:t xml:space="preserve">[Sở Sơn La – 2026 – Lần 3] </w:t>
      </w:r>
      <w:r>
        <w:rPr>
          <w:rFonts w:ascii="Times New Roman" w:hAnsi="Times New Roman"/>
          <w:b w:val="0"/>
          <w:i w:val="0"/>
          <w:sz w:val="23"/>
          <w:u w:val="none"/>
        </w:rPr>
        <w:t>Trong công nghiệp hóa dầu, nước thải thường chứa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một hợp chất rất độc đối với sinh vật thủy sinh. Để loại bỏ phenol, các kỹ sư tiến hành thêm dung môi diisopropyl ether vào nước thải, khuấy trộn kỹ để phenol chuyển từ pha nước sang pha dung môi, sau đó để yên cho hỗn hợp tách thành hai lớp chất lỏng không đồng nhất và tiến hành tách lấy từng lớp. Nguyên lý của phương pháp dựa trên định luật phân bố Nernst: Ở trạng thái cân bằng, tỉ số giữa nồng độ chất tan trong dung môi hữu cơ (C</w:t>
      </w:r>
      <w:r>
        <w:rPr>
          <w:rFonts w:ascii="Times New Roman" w:hAnsi="Times New Roman"/>
          <w:b w:val="0"/>
          <w:i w:val="0"/>
          <w:sz w:val="23"/>
          <w:u w:val="none"/>
          <w:vertAlign w:val="subscript"/>
        </w:rPr>
        <w:t>hc</w:t>
      </w:r>
      <w:r>
        <w:rPr>
          <w:rFonts w:ascii="Times New Roman" w:hAnsi="Times New Roman"/>
          <w:b w:val="0"/>
          <w:i w:val="0"/>
          <w:sz w:val="23"/>
          <w:u w:val="none"/>
        </w:rPr>
        <w:t>) và trong nước (C</w:t>
      </w:r>
      <w:r>
        <w:rPr>
          <w:rFonts w:ascii="Times New Roman" w:hAnsi="Times New Roman"/>
          <w:b w:val="0"/>
          <w:i w:val="0"/>
          <w:sz w:val="23"/>
          <w:u w:val="none"/>
          <w:vertAlign w:val="subscript"/>
        </w:rPr>
        <w:t>n</w:t>
      </w:r>
      <w:r>
        <w:rPr>
          <w:rFonts w:ascii="Times New Roman" w:hAnsi="Times New Roman"/>
          <w:b w:val="0"/>
          <w:i w:val="0"/>
          <w:sz w:val="23"/>
          <w:u w:val="none"/>
        </w:rPr>
        <w:t>) là một hằng số, gọi là hệ số phân bố (K</w:t>
      </w:r>
      <w:r>
        <w:rPr>
          <w:rFonts w:ascii="Times New Roman" w:hAnsi="Times New Roman"/>
          <w:b w:val="0"/>
          <w:i w:val="0"/>
          <w:sz w:val="23"/>
          <w:u w:val="none"/>
          <w:vertAlign w:val="subscript"/>
        </w:rPr>
        <w:t>D</w:t>
      </w:r>
      <w:r>
        <w:rPr>
          <w:rFonts w:ascii="Times New Roman" w:hAnsi="Times New Roman"/>
          <w:b w:val="0"/>
          <w:i w:val="0"/>
          <w:sz w:val="23"/>
          <w:u w:val="none"/>
        </w:rPr>
        <w:t>): KD=(Chc)/(C</w:t>
      </w:r>
      <w:r>
        <w:rPr>
          <w:rFonts w:ascii="Times New Roman" w:hAnsi="Times New Roman"/>
          <w:b w:val="0"/>
          <w:i w:val="0"/>
          <w:sz w:val="23"/>
          <w:u w:val="none"/>
          <w:vertAlign w:val="subscript"/>
        </w:rPr>
        <w:t>n</w:t>
      </w:r>
      <w:r>
        <w:rPr>
          <w:rFonts w:ascii="Times New Roman" w:hAnsi="Times New Roman"/>
          <w:b w:val="0"/>
          <w:i w:val="0"/>
          <w:sz w:val="23"/>
          <w:u w:val="none"/>
        </w:rPr>
        <w:t>). Để đánh giá hiệu quả, các kỹ sư sử dụng công thức tính phần trăm chất tan còn lại trong nước sau một lần xử lý (q): q=(ms</w:t>
      </w:r>
      <w:r>
        <w:rPr>
          <w:rFonts w:ascii="Times New Roman" w:hAnsi="Times New Roman"/>
          <w:b w:val="0"/>
          <w:i w:val="0"/>
          <w:sz w:val="23"/>
          <w:u w:val="none"/>
          <w:vertAlign w:val="subscript"/>
        </w:rPr>
        <w:t>a</w:t>
      </w:r>
      <w:r>
        <w:rPr>
          <w:rFonts w:ascii="Times New Roman" w:hAnsi="Times New Roman"/>
          <w:b w:val="0"/>
          <w:i w:val="0"/>
          <w:sz w:val="23"/>
          <w:u w:val="none"/>
        </w:rPr>
        <w:t>u)/(mtröôùc)</w:t>
        <w:br/>
        <w:t>Trong đó: m</w:t>
      </w:r>
      <w:r>
        <w:rPr>
          <w:rFonts w:ascii="Times New Roman" w:hAnsi="Times New Roman"/>
          <w:b w:val="0"/>
          <w:i w:val="0"/>
          <w:sz w:val="23"/>
          <w:u w:val="none"/>
          <w:vertAlign w:val="subscript"/>
        </w:rPr>
        <w:t>sau</w:t>
      </w:r>
      <w:r>
        <w:rPr>
          <w:rFonts w:ascii="Times New Roman" w:hAnsi="Times New Roman"/>
          <w:b w:val="0"/>
          <w:i w:val="0"/>
          <w:sz w:val="23"/>
          <w:u w:val="none"/>
        </w:rPr>
        <w:t>, m</w:t>
      </w:r>
      <w:r>
        <w:rPr>
          <w:rFonts w:ascii="Times New Roman" w:hAnsi="Times New Roman"/>
          <w:b w:val="0"/>
          <w:i w:val="0"/>
          <w:sz w:val="23"/>
          <w:u w:val="none"/>
          <w:vertAlign w:val="subscript"/>
        </w:rPr>
        <w:t>trước</w:t>
      </w:r>
      <w:r>
        <w:rPr>
          <w:rFonts w:ascii="Times New Roman" w:hAnsi="Times New Roman"/>
          <w:b w:val="0"/>
          <w:i w:val="0"/>
          <w:sz w:val="23"/>
          <w:u w:val="none"/>
        </w:rPr>
        <w:t>là khối lượng chất tan trong nước sau và trước khi xử lý.</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điều kiện thường, phenol là chất lỏng, tan vô hạn trong nước tạo thành dung dịch đồng nhất nên việc loại bỏ chúng bằng phương pháp lọc cơ học thông thường là không thể.</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Một nhà máy cần xử lý bể chứa 1200 lít nước thải đang nhiễm phenol. Biết hệ số phân bố của phenol giữa diisopropyl ether và nước là K</w:t>
      </w:r>
      <w:r>
        <w:rPr>
          <w:rFonts w:ascii="Times New Roman" w:hAnsi="Times New Roman"/>
          <w:b w:val="0"/>
          <w:i w:val="0"/>
          <w:sz w:val="22"/>
          <w:u w:val="none"/>
          <w:vertAlign w:val="subscript"/>
        </w:rPr>
        <w:t>D</w:t>
      </w:r>
      <w:r>
        <w:rPr>
          <w:rFonts w:ascii="Times New Roman" w:hAnsi="Times New Roman"/>
          <w:b w:val="0"/>
          <w:i w:val="0"/>
          <w:sz w:val="22"/>
          <w:u w:val="none"/>
        </w:rPr>
        <w:t xml:space="preserve"> = 35,5. Theo quy chuẩn môi trường, kỹ sư phải loại bỏ được ít nhất 92% lượng phenol ra khỏi nguồn nước này chỉ sau 1 lần xử lý. Để hệ thống đạt quy chuẩn xả thải môi trường nói trên, thể tích dung môi diisopropyl ether tối thiểu cần sử dụng cho 1 lần xử lý là 389 lít. (Không làm tròn kết quả các phép tính trung gian, chỉ làm tròn kết quả cuối cùng đến hàng đơn vị).</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Phương pháp dùng để tách phenol ra khỏi nước thải ở trên là phương pháp chiết lỏng - lỏng.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thực hiện quá trình tách lớp hỗn hợp trên bằng phễu chiết, phần dung môi diisopropyl ether hòa tan phenol sẽ chìm xuống dưới, còn lớp nước sẽ nổi lên trên do dung môi hữu cơ luôn nặng hơn nước.</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[H11-CDHT-P2-VD-019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Trong Nông nghiệp, phân bón đóng vai trò rất quan trọng trong quá trình phát triển và sinh trưởng của cây; có ảnh hưởng trực tiếp đến năng suất, chất lượng của sản phẩm. Phân đạm là một trong những loại phân vô cơ quan trọng, được sử dụng phổ biến cho cây trồng. Phân đạm cung cấp cho cây trồng nguyên tố nitrogen (N) hóa hợp. Một số loại phân bón chứa ammonium nitrate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giúp cung cấp dinh dưỡng cho cây trồng. Một học sinh đưa ra giả thuyết: "Phân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không chỉ cung cấp nitrogen mà còn có thể ảnh hưởng đến độ pH của đất". Học sinh này tiến hành thí nghiệm: Hòa tan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vào nước và đo pH của dung dịch. Nhận thấy dung dịch có tính acid nhẹ (pH&lt; 7).</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quả thí nghiệm chứng minh giả thuyết của học sinh là đúng.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Sử dụng quá nhiều phân bón chứa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làm đất chua hơn theo thời gian.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khi tan trong nước phân li ra ion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và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ion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tham gia phản ứng thủy phân với nước tạo ra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nên làm giảm pH đất.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Nếu thay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KNO</w:t>
      </w:r>
      <w:r>
        <w:rPr>
          <w:rFonts w:ascii="Times New Roman" w:hAnsi="Times New Roman"/>
          <w:b w:val="0"/>
          <w:i w:val="0"/>
          <w:sz w:val="22"/>
          <w:u w:val="none"/>
          <w:vertAlign w:val="subscript"/>
        </w:rPr>
        <w:t>3</w:t>
      </w:r>
      <w:r>
        <w:rPr>
          <w:rFonts w:ascii="Times New Roman" w:hAnsi="Times New Roman"/>
          <w:b w:val="0"/>
          <w:i w:val="0"/>
          <w:sz w:val="22"/>
          <w:u w:val="none"/>
        </w:rPr>
        <w:t>, thí nghiệm vẫn cho kết quả tương tự.</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[H11-CDHT-P2-VD-020 | Vận dụng] </w:t>
      </w:r>
      <w:r>
        <w:rPr>
          <w:rFonts w:ascii="Times New Roman" w:hAnsi="Times New Roman"/>
          <w:b/>
          <w:color w:val="1565C0"/>
          <w:sz w:val="21"/>
        </w:rPr>
        <w:t xml:space="preserve">[THPT Phụ Dực – 2026 – Lần 1] </w:t>
      </w:r>
      <w:r>
        <w:rPr>
          <w:rFonts w:ascii="Times New Roman" w:hAnsi="Times New Roman"/>
          <w:b w:val="0"/>
          <w:i w:val="0"/>
          <w:sz w:val="23"/>
          <w:u w:val="none"/>
        </w:rPr>
        <w:t>Xét thí nghiệm tách tinh dầu sả theo các bước:</w:t>
        <w:br/>
        <w:t>Bước 1: Cho 200 g cây sả đã cắt nhỏ 1 cm vào bình chứa nguyên liệu, thêm nước ngập nguyên liệu 2 cm.</w:t>
        <w:br/>
        <w:t>Bước 2: Lắp bộ dụng cụ chưng cất như hình bên dưới.</w:t>
        <w:br/>
        <w:t>Bước 3: Đun sôi bình cấp hơi nước và đun nóng bình chứa nguyên liệu thu được hỗn hợp nước và tinh dầu trong bình hứng (bình tam giác).</w:t>
        <w:br/>
        <w:t>Bước 4: Chuyển hỗn hợp trong bình hứng vào phễu chiết, thu lấy tinh dầu sả ở lớp trên.</w:t>
        <w:br/>
        <w:t>Xét các phát biểu sau:</w:t>
        <w:br/>
        <w:t>(a) Phương pháp tách tinh dầu trong thí nghiệm là chưng cất lôi cuốn hơi nước.</w:t>
        <w:br/>
        <w:t>(b) Cơ sở của phương pháp là tinh dầu sả tan tốt trong nước và bay hơi cùng nước.</w:t>
        <w:br/>
        <w:t>(c) Trong bình tam giác, lớp chất lỏng phía dưới là tinh dầu sả, lớp phía trên là nước.</w:t>
        <w:br/>
        <w:t>(d) Nguyên liệu sả nên được cắt nhỏ hoặc đập dập nhẹ tốt nhất là nghiền mịn để tăng hiệu suất thu tinh dầu.</w:t>
        <w:br/>
        <w:t>(e) Hỗn hợp nước và tinh dầu có thể sôi ở nhiệt độ thấp hơn nhiệt độ sôi của từng chất riêng lẻ.</w:t>
        <w:br/>
        <w:t>Có bao nhiêu phát biểu đúng?</w:t>
      </w:r>
    </w:p>
    <w:p>
      <w:pPr>
        <w:spacing w:before="60" w:after="60"/>
        <w:jc w:val="center"/>
      </w:pPr>
      <w:r>
        <w:drawing>
          <wp:inline xmlns:a="http://schemas.openxmlformats.org/drawingml/2006/main" xmlns:pic="http://schemas.openxmlformats.org/drawingml/2006/picture">
            <wp:extent cx="4320000" cy="2051223"/>
            <wp:docPr id="1" name="Picture 1"/>
            <wp:cNvGraphicFramePr>
              <a:graphicFrameLocks noChangeAspect="1"/>
            </wp:cNvGraphicFramePr>
            <a:graphic>
              <a:graphicData uri="http://schemas.openxmlformats.org/drawingml/2006/picture">
                <pic:pic>
                  <pic:nvPicPr>
                    <pic:cNvPr id="0" name="h11_cdht_q020_img1.png"/>
                    <pic:cNvPicPr/>
                  </pic:nvPicPr>
                  <pic:blipFill>
                    <a:blip r:embed="rId11"/>
                    <a:stretch>
                      <a:fillRect/>
                    </a:stretch>
                  </pic:blipFill>
                  <pic:spPr>
                    <a:xfrm>
                      <a:off x="0" y="0"/>
                      <a:ext cx="4320000" cy="2051223"/>
                    </a:xfrm>
                    <a:prstGeom prst="rect"/>
                  </pic:spPr>
                </pic:pic>
              </a:graphicData>
            </a:graphic>
          </wp:inline>
        </w:drawing>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[H11-CDHT-P2-VD-021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Thí nghiệm tách β -carotene từ nước ép cà rốt:</w:t>
        <w:br/>
        <w:t>Chuẩn bị: nước ép cà rốt, hexane; cốc thuỷ tinh 100 mL, bình tam giác 100 mL, phễu chiết 60 mL, giá thí nghiệm.</w:t>
        <w:br/>
        <w:t>Tiến hành:</w:t>
        <w:br/>
        <w:t>Cho khoảng 20 mL nước ép cà rốt vào bình tam giác.</w:t>
        <w:br/>
        <w:t>Thêm tiếp khoảng 20 mL hexane, lắc đều khoảng 2 phút.</w:t>
        <w:br/>
        <w:t>Đổ hỗn hợp vào phễu chiết và để yên phễu chiết trên giá thí nghiệm khoảng 5 phút, thấy chất lỏng tách thành hai lớp.</w:t>
        <w:br/>
        <w:t>Mở khoá phễu chiết cho phần chất lỏng ở dưới chảy xuống cốc thuỷ tinh, còn lại phần chất lỏng phía trên giữ lại trong phễu chiết.</w:t>
        <w:br/>
        <w:t>Cho các phát biểu được đánh số thứ tự như sau:</w:t>
        <w:br/>
        <w:t>(1) Hexane đóng vai trò là dung môi có khả năng hòa tan β-carotene.</w:t>
        <w:br/>
        <w:t>(2) Thí nghiệm tách β -carotene từ nước cà rốt dựa theo nguyên tắc chiết lỏng – lỏng.</w:t>
        <w:br/>
        <w:t>(3) Thí nghiệm tách β -carotene từ nước cà rốt dựa theo nguyên tắc chiết lỏng – rắn.</w:t>
        <w:br/>
        <w:t>(4) Chất lỏng trong cốc thuỷ tinh là nước, chất lỏng giữ lại trong phễu chiết là β -carotene hoà tan trong hexane. Liệt kê các phát biểu đúng theo số thứ tự tăng dần (ví dụ 12,123..)</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[H11-CDHT-P2-VD-022 | Vận dụng] </w:t>
      </w:r>
      <w:r>
        <w:rPr>
          <w:rFonts w:ascii="Times New Roman" w:hAnsi="Times New Roman"/>
          <w:b/>
          <w:color w:val="1565C0"/>
          <w:sz w:val="21"/>
        </w:rPr>
        <w:t xml:space="preserve">[Cụm 15 Ninh Bình – 2026 – Lần 1] </w:t>
      </w:r>
      <w:r>
        <w:rPr>
          <w:rFonts w:ascii="Times New Roman" w:hAnsi="Times New Roman"/>
          <w:b w:val="0"/>
          <w:i w:val="0"/>
          <w:sz w:val="23"/>
          <w:u w:val="none"/>
        </w:rPr>
        <w:t>Glucosamine là một amino monosaccharide có nhiều trong các mô liên kết và mô sụn. Công thức của glucosamine (dạng 𝛼 và 𝛽) như hình bên.</w:t>
        <w:br/>
        <w:t>Một số muối của glucosamine như glucosamine sulfate hoặc glucosamine hydrochloride được sử dụng nhiều trong chữa trị các bệnh xương khớp. Glucosamine hydrochloride được điều chế từ vỏ tôm khô (chứa chitin) qua các giai đoạn chính: - Sơ chế và loại bỏ khoáng, protein: Vỏ tôm khô sau khi được loại bỏ thịt tôm được lần lượt xử lý bằng dung dịch HCl loãng và dung dịch NaOH nóng để thu được chitin tinh khiết. - Thủy phân: Chitin được đưa vào bình cầu rồi thêm dung dịch HCl 35 − 36%, đun cách thủy trong 4 giờ (duy trì ở nhiệt độ 95 − 100∘C), sau đó để nguội để glucosamine hydrochloride kết tinh.</w:t>
      </w:r>
    </w:p>
    <w:p>
      <w:pPr>
        <w:spacing w:before="60" w:after="60"/>
        <w:jc w:val="center"/>
      </w:pPr>
      <w:r>
        <w:drawing>
          <wp:inline xmlns:a="http://schemas.openxmlformats.org/drawingml/2006/main" xmlns:pic="http://schemas.openxmlformats.org/drawingml/2006/picture">
            <wp:extent cx="4320000" cy="1042607"/>
            <wp:docPr id="2" name="Picture 2"/>
            <wp:cNvGraphicFramePr>
              <a:graphicFrameLocks noChangeAspect="1"/>
            </wp:cNvGraphicFramePr>
            <a:graphic>
              <a:graphicData uri="http://schemas.openxmlformats.org/drawingml/2006/picture">
                <pic:pic>
                  <pic:nvPicPr>
                    <pic:cNvPr id="0" name="h11_cdht_q022_img1.png"/>
                    <pic:cNvPicPr/>
                  </pic:nvPicPr>
                  <pic:blipFill>
                    <a:blip r:embed="rId12"/>
                    <a:stretch>
                      <a:fillRect/>
                    </a:stretch>
                  </pic:blipFill>
                  <pic:spPr>
                    <a:xfrm>
                      <a:off x="0" y="0"/>
                      <a:ext cx="4320000" cy="1042607"/>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Một phân tử glucosamine hydrochloride chứa hai nguyên tử Cl.</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Dung dịch glucosamine có khả năng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Biết hiệu suất chuyển hóa chitin thành glucosamine hydrochloride là 57% (khối lượng glucosamine hydrochloride/chitin = 57/100), hàm lượng chitin trong vỏ tôm khô là 20%. Để sản xuất 1 hộp thuốc (100 viên, mỗi viên chứa 904 milligam glucosamine hydrochloride) thì cần 793 gam vỏ tôm khô.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Trong giai đoạn thủy phân chitin bằng dung dịch HCl đặc, cần sử dụng hệ thống làm lạnh hồi lưu và thực hiện trong tủ hút khí độc.</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[H11-CDHT-P2-VD-023 | Vận dụng] </w:t>
      </w:r>
      <w:r>
        <w:rPr>
          <w:rFonts w:ascii="Times New Roman" w:hAnsi="Times New Roman"/>
          <w:b/>
          <w:color w:val="1565C0"/>
          <w:sz w:val="21"/>
        </w:rPr>
        <w:t xml:space="preserve">[Sở Nghệ An – 2026 – Lần 3] </w:t>
      </w:r>
      <w:r>
        <w:rPr>
          <w:rFonts w:ascii="Times New Roman" w:hAnsi="Times New Roman"/>
          <w:b w:val="0"/>
          <w:i w:val="0"/>
          <w:sz w:val="23"/>
          <w:u w:val="none"/>
        </w:rPr>
        <w:t>Dầu thô là một hỗn hợp phức tạp, chủ yếu gồm các hydrocarbon và một lượng nhỏ các hợp chất chứa các nguyên tố sulfur, nitrogen, oxygen. Dựa vào hàm lượng sulfur, dầu thô được phân loại như sau:</w:t>
        <w:br/>
        <w:t>− Dầu “ngọt”: hàm lượng sulfur &lt; 0,5% khối lượng.− Dầu “chua”: hàm lượng sulfur &gt; 2,0% khối lượng.</w:t>
        <w:br/>
        <w:t>Trong công nghiệp, dầu thô được chế biến bằng phương pháp chưng cất phân đoạn để thu các sản phẩm khác nhau. Khoảng nhiệt độ sôi của một số sản phẩm chưng cất phân đoạn ở áp suất thường như sau:</w:t>
        <w:br/>
        <w:t>Một nhà máy khi chưng cất 500 tấn dầu thô thì có 15% khối lượng dầu thô chuyển thành xăng và 60% khối lượng dầu thô chuyển thành dầu đốt. Toàn bộ lượng dầu đốt này tiếp tục được xử lí bằng quá trình cracking thì thu được lượng xăng có khối lượng bằng 50% khối lượng dầu đốt. Tổng khối lượng xăng thu được sau hai giai đoạn trên là m tấn.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quá trình chưng cất, sản phẩm xăng khó bay hơi hơn sản phẩm dầu diesel.</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Giá trị của m là 150.</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Kết quả phân tích 11,5 mL một mẫu dầu thô (khối lượng riêng là 0,87 g/mL) thu được 3,6 mg sulfur. Mẫu dầu thô này thuộc loại dầu “ngọt”.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chế biến dầu mỏ, người ta thực hiện quá trình cracking để chuyển đổi dầu đốt thành các sản phẩm như xăng, dầu diesel.</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[H11-CDHT-P2-VD-024 | Vận dụng] </w:t>
      </w:r>
      <w:r>
        <w:rPr>
          <w:rFonts w:ascii="Times New Roman" w:hAnsi="Times New Roman"/>
          <w:b/>
          <w:color w:val="1565C0"/>
          <w:sz w:val="21"/>
        </w:rPr>
        <w:t xml:space="preserve">[Sở Đà Nẵng – 2026] </w:t>
      </w:r>
      <w:r>
        <w:rPr>
          <w:rFonts w:ascii="Times New Roman" w:hAnsi="Times New Roman"/>
          <w:b w:val="0"/>
          <w:i w:val="0"/>
          <w:sz w:val="23"/>
          <w:u w:val="none"/>
        </w:rPr>
        <w:t>Khí thiên nhiên có vai trò quan trọng trong nhiều lĩnh vực của đời sống và công nghiệp. Khí thiên nhiên chưa được xử lý thường lẫn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gây ăn mòn thiết bị, ảnh hưởng đến quá trình chế biến, do đó, khí thiên nhiên cần được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trước khi đưa vào sử dụng. Phương pháp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phổ biến hiện nay là hấp thụ bằng dung dịch của các alkanolamine như MEA, DEA, MDEA (sau đây gọi chung là AEA). Công thức cấu tạo của các AEA như sau:</w:t>
        <w:br/>
        <w:t>Nguồn: Nguyễn Bá Khoa. Tạp chí Dầu khí, (Số 8), tr. 18</w:t>
        <w:br/>
        <w:t>Một nhà máy cần khử H</w:t>
      </w:r>
      <w:r>
        <w:rPr>
          <w:rFonts w:ascii="Times New Roman" w:hAnsi="Times New Roman"/>
          <w:b w:val="0"/>
          <w:i w:val="0"/>
          <w:sz w:val="23"/>
          <w:u w:val="none"/>
          <w:vertAlign w:val="subscript"/>
        </w:rPr>
        <w:t>2</w:t>
      </w:r>
      <w:r>
        <w:rPr>
          <w:rFonts w:ascii="Times New Roman" w:hAnsi="Times New Roman"/>
          <w:b w:val="0"/>
          <w:i w:val="0"/>
          <w:sz w:val="23"/>
          <w:u w:val="none"/>
        </w:rPr>
        <w:t>S,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100.000 m</w:t>
      </w:r>
      <w:r>
        <w:rPr>
          <w:rFonts w:ascii="Times New Roman" w:hAnsi="Times New Roman"/>
          <w:b w:val="0"/>
          <w:i w:val="0"/>
          <w:sz w:val="23"/>
          <w:u w:val="none"/>
          <w:vertAlign w:val="superscript"/>
        </w:rPr>
        <w:t>3</w:t>
      </w:r>
      <w:r>
        <w:rPr>
          <w:rFonts w:ascii="Times New Roman" w:hAnsi="Times New Roman"/>
          <w:b w:val="0"/>
          <w:i w:val="0"/>
          <w:sz w:val="23"/>
          <w:u w:val="none"/>
        </w:rPr>
        <w:t xml:space="preserve"> (đkc) khí thiên nhiên nêu trên. Dung dịch các AEA được dùng chứa MEA, DEA, MDEA theo tỷ lệ mol lần lượt là 1: 2: 2. Giả thiết trong điều kiện vận hành, 1,0 mol AEA hấp thụ tối đa 0,4 mol H</w:t>
      </w:r>
      <w:r>
        <w:rPr>
          <w:rFonts w:ascii="Times New Roman" w:hAnsi="Times New Roman"/>
          <w:b w:val="0"/>
          <w:i w:val="0"/>
          <w:sz w:val="23"/>
          <w:u w:val="none"/>
          <w:vertAlign w:val="subscript"/>
        </w:rPr>
        <w:t>2</w:t>
      </w:r>
      <w:r>
        <w:rPr>
          <w:rFonts w:ascii="Times New Roman" w:hAnsi="Times New Roman"/>
          <w:b w:val="0"/>
          <w:i w:val="0"/>
          <w:sz w:val="23"/>
          <w:u w:val="none"/>
        </w:rPr>
        <w:t>S hoặc CO</w:t>
      </w:r>
      <w:r>
        <w:rPr>
          <w:rFonts w:ascii="Times New Roman" w:hAnsi="Times New Roman"/>
          <w:b w:val="0"/>
          <w:i w:val="0"/>
          <w:sz w:val="23"/>
          <w:u w:val="none"/>
          <w:vertAlign w:val="subscript"/>
        </w:rPr>
        <w:t>2</w:t>
      </w:r>
      <w:r>
        <w:rPr>
          <w:rFonts w:ascii="Times New Roman" w:hAnsi="Times New Roman"/>
          <w:b w:val="0"/>
          <w:i w:val="0"/>
          <w:sz w:val="23"/>
          <w:u w:val="none"/>
        </w:rPr>
        <w:t>. Khối lượng AEA tối thiểu cần sử dụng cho quy trình trên là 96 tấn. (Kết quả các phép tính trung gian không được làm tròn, chỉ kết quả cuối cùng được làm tròn đến hàng đơn vị).</w:t>
      </w:r>
    </w:p>
    <w:p>
      <w:pPr>
        <w:spacing w:before="60" w:after="60"/>
        <w:jc w:val="center"/>
      </w:pPr>
      <w:r>
        <w:drawing>
          <wp:inline xmlns:a="http://schemas.openxmlformats.org/drawingml/2006/main" xmlns:pic="http://schemas.openxmlformats.org/drawingml/2006/picture">
            <wp:extent cx="4320000" cy="569943"/>
            <wp:docPr id="3" name="Picture 3"/>
            <wp:cNvGraphicFramePr>
              <a:graphicFrameLocks noChangeAspect="1"/>
            </wp:cNvGraphicFramePr>
            <a:graphic>
              <a:graphicData uri="http://schemas.openxmlformats.org/drawingml/2006/picture">
                <pic:pic>
                  <pic:nvPicPr>
                    <pic:cNvPr id="0" name="h11_cdht_q024_img1.png"/>
                    <pic:cNvPicPr/>
                  </pic:nvPicPr>
                  <pic:blipFill>
                    <a:blip r:embed="rId13"/>
                    <a:stretch>
                      <a:fillRect/>
                    </a:stretch>
                  </pic:blipFill>
                  <pic:spPr>
                    <a:xfrm>
                      <a:off x="0" y="0"/>
                      <a:ext cx="4320000" cy="56994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MEA, DEA và MDEA đều là các hợp chất hữu cơ đa chức, lần lượt chứa nhóm chức amine bậc một, bậc hai và bậc ba.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Dung dịch của AEA có tính base nên tác dụng được với H</w:t>
      </w:r>
      <w:r>
        <w:rPr>
          <w:rFonts w:ascii="Times New Roman" w:hAnsi="Times New Roman"/>
          <w:b w:val="0"/>
          <w:i w:val="0"/>
          <w:sz w:val="22"/>
          <w:u w:val="none"/>
          <w:vertAlign w:val="subscript"/>
        </w:rPr>
        <w:t>2</w:t>
      </w:r>
      <w:r>
        <w:rPr>
          <w:rFonts w:ascii="Times New Roman" w:hAnsi="Times New Roman"/>
          <w:b w:val="0"/>
          <w:i w:val="0"/>
          <w:sz w:val="22"/>
          <w:u w:val="none"/>
        </w:rPr>
        <w:t>S, CO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MEA, DEA, MDEA có công thức phân tử lần lượt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NO,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13</w:t>
      </w:r>
      <w:r>
        <w:rPr>
          <w:rFonts w:ascii="Times New Roman" w:hAnsi="Times New Roman"/>
          <w:b w:val="0"/>
          <w:i w:val="0"/>
          <w:sz w:val="22"/>
          <w:u w:val="none"/>
        </w:rPr>
        <w:t>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Thành phần khí thiên nhiên tại một mỏ dầu thuộc bể Nam Côn Sơn - Việt Nam như sau:</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CHUYÊN ĐỀ 11.1: PHÂN BÓN HÓA HỌC</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[H11-CDHT-P3-VD-025 | Vận dụng] </w:t>
      </w:r>
      <w:r>
        <w:rPr>
          <w:rFonts w:ascii="Times New Roman" w:hAnsi="Times New Roman"/>
          <w:b/>
          <w:color w:val="1565C0"/>
          <w:sz w:val="21"/>
        </w:rPr>
        <w:t xml:space="preserve">[Chuyên PBC – 2026 – Lần 2] </w:t>
      </w:r>
      <w:r>
        <w:rPr>
          <w:rFonts w:ascii="Times New Roman" w:hAnsi="Times New Roman"/>
          <w:b w:val="0"/>
          <w:i w:val="0"/>
          <w:sz w:val="23"/>
          <w:u w:val="none"/>
        </w:rPr>
        <w:t>Nhà máy của công ty cổ phần Supephotphat và hóa chất Lâm Thao sản xuất 100 tấn phân bón NPK (15 – 15 – 15) bằng cách phối trộn các loại gồm SA (chứa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có độ dinh dưỡng 21%), Urea (có độ dinh dưỡng 46%), ammophos (16 – 48 – 0), phân kali (chứa KCl, có độ dinh dưỡng 60%) với 2 tấn là hỗn hợp các chất chống kết dính, chất chống vón cục, các phụ gia. Khối lượng (tấn) phân bón urea đã sử dụng để sản xuất 100 tấn NPK ở trên là bao nhiêu? (chỉ làm tròn số ở phép tính cuối cùng và làm tròn số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[H11-CDHT-P3-VD-026 | Vận dụng]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Phân bón NPK là hỗn hợp các muối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HPO</w:t>
      </w:r>
      <w:r>
        <w:rPr>
          <w:rFonts w:ascii="Times New Roman" w:hAnsi="Times New Roman"/>
          <w:b w:val="0"/>
          <w:i w:val="0"/>
          <w:sz w:val="23"/>
          <w:u w:val="none"/>
          <w:vertAlign w:val="subscript"/>
        </w:rPr>
        <w:t>4</w:t>
      </w:r>
      <w:r>
        <w:rPr>
          <w:rFonts w:ascii="Times New Roman" w:hAnsi="Times New Roman"/>
          <w:b w:val="0"/>
          <w:i w:val="0"/>
          <w:sz w:val="23"/>
          <w:u w:val="none"/>
        </w:rPr>
        <w:t>, KCl và một lượng phụ gia không chứa các nguyên tố dinh dưỡng. Trên các bao bì phân NPK thường có kí hiệu bằng những chữ số nhằm cho biết tỉ lệ khối lượng các thành phần trong phân bón. Việc bón phân NPK cho cây cà phê sau khi trồng 4 năm được chia thành ba thời kì như sau:</w:t>
        <w:br/>
        <w:t>Tổng khối lượng đạm (N) và lân (P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đã cung cấp cho cây cà phê trong cả ba thời kì là bao nhiêu kg? (kết quả làm tròn đến hàng phần trăm).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[H11-CDHT-P3-VD-027 | Vận dụng] </w:t>
      </w:r>
      <w:r>
        <w:rPr>
          <w:rFonts w:ascii="Times New Roman" w:hAnsi="Times New Roman"/>
          <w:b/>
          <w:color w:val="1565C0"/>
          <w:sz w:val="21"/>
        </w:rPr>
        <w:t xml:space="preserve">[Sở Thái Nguyên – 2026 – Lần 2] </w:t>
      </w:r>
      <w:r>
        <w:rPr>
          <w:rFonts w:ascii="Times New Roman" w:hAnsi="Times New Roman"/>
          <w:b w:val="0"/>
          <w:i w:val="0"/>
          <w:sz w:val="23"/>
          <w:u w:val="none"/>
        </w:rPr>
        <w:t>Urea là loại phân đạm có hàm lượng dinh dưỡng cao nhất và được sử dụng phổ biến nhất trên thế giới do có khả năng phát huy tác dụng trên nhiều loại đất khác nhau (kể cả đất nhiễm phèn) và đối với nhiều loại cây trồng khác nhau. Trong quá trình bảo quản, urea dễ bị hút ẩm và chuyển hóa một phần thành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Một loại phân ure chứa 95%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còn lại là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Biết độ dinh dưỡng của phân đạm tính bằng phần trăm khối lượng của N tương ứng có trong phân, độ dinh dưỡng của loại phân này là bao nhiêu? (Không làm tròn kết quả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[H11-CDHT-P3-VD-028 | Vận dụng] </w:t>
      </w:r>
      <w:r>
        <w:rPr>
          <w:rFonts w:ascii="Times New Roman" w:hAnsi="Times New Roman"/>
          <w:b/>
          <w:color w:val="1565C0"/>
          <w:sz w:val="21"/>
        </w:rPr>
        <w:t xml:space="preserve">[Sở Hải Phòng - 2026 – Lần 2] </w:t>
      </w:r>
      <w:r>
        <w:rPr>
          <w:rFonts w:ascii="Times New Roman" w:hAnsi="Times New Roman"/>
          <w:b w:val="0"/>
          <w:i w:val="0"/>
          <w:sz w:val="23"/>
          <w:u w:val="none"/>
        </w:rPr>
        <w:t>Tại một công ty sản xuất phân bón và hoá chất, superphosphate kép được sản xuất từ tinh quặng phosphorite theo hai giai đoạn, hiệu suất của mỗi giai đoạn đạt 90%.</w:t>
        <w:br/>
        <w:t>Giai đoạn 1: Đun nóng quặng phosphorite với dung dịch sulfuric acid đặc để sản xuất phosphoric acid:</w:t>
        <w:br/>
        <w:t>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3CaSO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br/>
        <w:t>Giai đoạn 2: Đun nóng quặng phosphorite với dung dịch phosphoric acid để sản xuất superphosphate kép: 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3Ca(H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br/>
        <w:t>Trung bình mỗi ngày, công ty sử dụng 1000 tấn tinh quặng phosphorite (chứa 93% Ca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làm nguyên liệu để sản xuất ra tối đa m tấn Ca(H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Giá trị của m bằng bao nhiêu? (Làm tròn kết quả đến phần nguyên.)</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CHUYÊN ĐỀ 11.2: TRẢI NGHIỆM THỰC HÀNH HÓA HỌC HỮU CƠ</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[H11-CDHT-P3-VD-029 | Vận dụng] </w:t>
      </w:r>
      <w:r>
        <w:rPr>
          <w:rFonts w:ascii="Times New Roman" w:hAnsi="Times New Roman"/>
          <w:b/>
          <w:color w:val="1565C0"/>
          <w:sz w:val="21"/>
        </w:rPr>
        <w:t xml:space="preserve">[Chuyên Lê Khiết QN – 2026 – Lần 1] </w:t>
      </w:r>
      <w:r>
        <w:rPr>
          <w:rFonts w:ascii="Times New Roman" w:hAnsi="Times New Roman"/>
          <w:b w:val="0"/>
          <w:i w:val="0"/>
          <w:sz w:val="23"/>
          <w:u w:val="none"/>
        </w:rPr>
        <w:t>Urea là loại phân đạm có độ dinh dưỡng cao, được điều chế bằng cách cho ammonia tác dụng với carbon dioxide ở nhiệt độ 180 – 200°C, áp suất khoảng 200 atm theo phương trình hóa học sau: CO</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3</w:t>
      </w:r>
      <w:r>
        <w:rPr>
          <w:rFonts w:ascii="Times New Roman" w:hAnsi="Times New Roman"/>
          <w:b w:val="0"/>
          <w:i w:val="0"/>
          <w:sz w:val="23"/>
          <w:u w:val="none"/>
        </w:rPr>
        <w:t xml:space="preserve"> ¾¾→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 H</w:t>
      </w:r>
      <w:r>
        <w:rPr>
          <w:rFonts w:ascii="Times New Roman" w:hAnsi="Times New Roman"/>
          <w:b w:val="0"/>
          <w:i w:val="0"/>
          <w:sz w:val="23"/>
          <w:u w:val="none"/>
          <w:vertAlign w:val="subscript"/>
        </w:rPr>
        <w:t>2</w:t>
      </w:r>
      <w:r>
        <w:rPr>
          <w:rFonts w:ascii="Times New Roman" w:hAnsi="Times New Roman"/>
          <w:b w:val="0"/>
          <w:i w:val="0"/>
          <w:sz w:val="23"/>
          <w:u w:val="none"/>
        </w:rPr>
        <w:t>O</w:t>
        <w:br/>
        <w:t>Tính khối lượng urea (kg) sản xuất được từ nguyên liệu ban đầu gồm 495,8 m</w:t>
      </w:r>
      <w:r>
        <w:rPr>
          <w:rFonts w:ascii="Times New Roman" w:hAnsi="Times New Roman"/>
          <w:b w:val="0"/>
          <w:i w:val="0"/>
          <w:sz w:val="23"/>
          <w:u w:val="none"/>
          <w:vertAlign w:val="superscript"/>
        </w:rPr>
        <w:t>3</w:t>
      </w:r>
      <w:r>
        <w:rPr>
          <w:rFonts w:ascii="Times New Roman" w:hAnsi="Times New Roman"/>
          <w:b w:val="0"/>
          <w:i w:val="0"/>
          <w:sz w:val="23"/>
          <w:u w:val="none"/>
        </w:rPr>
        <w:t xml:space="preserve"> hỗn hợp khí X (chứa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mol tương ứng là 1: 3 ở điều kiện chuẩn) và 125 kg đá vôi chứa 80% CaCO</w:t>
      </w:r>
      <w:r>
        <w:rPr>
          <w:rFonts w:ascii="Times New Roman" w:hAnsi="Times New Roman"/>
          <w:b w:val="0"/>
          <w:i w:val="0"/>
          <w:sz w:val="23"/>
          <w:u w:val="none"/>
          <w:vertAlign w:val="subscript"/>
        </w:rPr>
        <w:t>3</w:t>
      </w:r>
      <w:r>
        <w:rPr>
          <w:rFonts w:ascii="Times New Roman" w:hAnsi="Times New Roman"/>
          <w:b w:val="0"/>
          <w:i w:val="0"/>
          <w:sz w:val="23"/>
          <w:u w:val="none"/>
        </w:rPr>
        <w:t>. Biết hiệu suất của các phản ứng tổng hợp ammonia, nung vôi và sản xuất phân urea lần lượt là 20%, 70% và 65%. (chỉ làm tròn kết quả ở bước cuối cùng và làm tròn kết quả đến hàng phần mười).</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CHUYÊN ĐỀ 11.3: DẦU MỎ VÀ CHẾ BIẾN DẦU MỎ</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[H11-CDHT-P3-VD-030 | Vận dụng] </w:t>
      </w:r>
      <w:r>
        <w:rPr>
          <w:rFonts w:ascii="Times New Roman" w:hAnsi="Times New Roman"/>
          <w:b/>
          <w:color w:val="1565C0"/>
          <w:sz w:val="21"/>
        </w:rPr>
        <w:t xml:space="preserve">[Hội HHNA – 2026 – Lần 3] </w:t>
      </w:r>
      <w:r>
        <w:rPr>
          <w:rFonts w:ascii="Times New Roman" w:hAnsi="Times New Roman"/>
          <w:b w:val="0"/>
          <w:i w:val="0"/>
          <w:sz w:val="23"/>
          <w:u w:val="none"/>
        </w:rPr>
        <w:t>Glucosamine HCl 1500 được sử dụng để điều trị các triệu chứng viêm khớp thoái hóa. Vỏ tôm bóc từ các nhà máy chế biến thủy, hải sản được tận dụng để sản xuất glucosamine hydrochloride theo sơ đồ sau:</w:t>
        <w:br/>
        <w:t>Để sản xuất 2000 hộp thuốc Glucosamine HCl 1500, trong đó mỗi hộp có chứa 120 viên, với hàm lượng glucosamine hydrochloride là 1500 mg/1 viên, thì cần sử dụng m kg vỏ tôm (chứa 23,5 % chitin về khối lượng). Biết hiệu suất quá trình điều chế glucosamine hydrochloride từ chitin đạt 50%. Giá trị của m bằng bao nhiêu? (kết quả các phép tính trung gian không được làm tròn, chỉ kết quả cuối cùng được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[H11-CDHT-P3-VD-031 | Vận dụng]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Glucosamine hydrochloride được sản suất từ chitin trong vỏ tôm. Glucosamine hydrochloride là sản phẩm hỗ trợ giảm các triệu chứng viêm, đau thoái hóa khớp, mạnh gân cốt, tăng tiết chất nhờn khớp, giúp bảo vệ sụn khớp. Glucosamine hydrochloride được chuyển hóa từ chitin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rPr>
          <w:rFonts w:ascii="Times New Roman" w:hAnsi="Times New Roman"/>
          <w:b w:val="0"/>
          <w:i w:val="0"/>
          <w:sz w:val="23"/>
          <w:u w:val="none"/>
          <w:vertAlign w:val="subscript"/>
        </w:rPr>
        <w:t>n</w:t>
      </w:r>
      <w:r>
        <w:rPr>
          <w:rFonts w:ascii="Times New Roman" w:hAnsi="Times New Roman"/>
          <w:b w:val="0"/>
          <w:i w:val="0"/>
          <w:sz w:val="23"/>
          <w:u w:val="none"/>
        </w:rPr>
        <w:t xml:space="preserve"> trong vỏ tôm theo sơ đồ (hình dưới).</w:t>
        <w:br/>
        <w:t>Nếu tận dụng vỏ tôm (đã được sơ chế) từ các nhà máy chế biến thủy, hải sản để sản xuất 500 hộp thuốc, mỗi hộp có chứa 60 viên, mỗi viên có hàm lượng glucosamine hydrochloride là 1000 mg/1 viên, thì cần sử dụng bao nhiêu kg vỏ tôm? Biết vỏ tôm chứa 28% chitin, hiệu suất điều chế glucosamine hydrochloride từ chitin đạt 40%. (Chỉ làm tròn ở phép tính cuối cùng, làm tròn kết quả đến hàng đơn vị).</w:t>
      </w:r>
    </w:p>
    <w:p>
      <w:pPr>
        <w:spacing w:before="60" w:after="60"/>
        <w:jc w:val="center"/>
      </w:pPr>
      <w:r>
        <w:drawing>
          <wp:inline xmlns:a="http://schemas.openxmlformats.org/drawingml/2006/main" xmlns:pic="http://schemas.openxmlformats.org/drawingml/2006/picture">
            <wp:extent cx="4320000" cy="1172195"/>
            <wp:docPr id="4" name="Picture 4"/>
            <wp:cNvGraphicFramePr>
              <a:graphicFrameLocks noChangeAspect="1"/>
            </wp:cNvGraphicFramePr>
            <a:graphic>
              <a:graphicData uri="http://schemas.openxmlformats.org/drawingml/2006/picture">
                <pic:pic>
                  <pic:nvPicPr>
                    <pic:cNvPr id="0" name="h11_cdht_q031_img1.png"/>
                    <pic:cNvPicPr/>
                  </pic:nvPicPr>
                  <pic:blipFill>
                    <a:blip r:embed="rId14"/>
                    <a:stretch>
                      <a:fillRect/>
                    </a:stretch>
                  </pic:blipFill>
                  <pic:spPr>
                    <a:xfrm>
                      <a:off x="0" y="0"/>
                      <a:ext cx="4320000" cy="1172195"/>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