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96021" w:rsidRPr="00296021" w:rsidRDefault="00296021" w:rsidP="00296021">
      <w:pPr>
        <w:jc w:val="center"/>
        <w:rPr>
          <w:b/>
        </w:rPr>
      </w:pPr>
      <w:r w:rsidRPr="00296021">
        <w:rPr>
          <w:b/>
        </w:rPr>
        <w:t>Một số lưu ý khi phát hành thẻ tín dụng cá nhân (Khoản 1 Điều 16 QĐ 2239):</w:t>
      </w:r>
    </w:p>
    <w:p w:rsidR="00296021" w:rsidRDefault="00296021" w:rsidP="00296021"/>
    <w:p w:rsidR="00296021" w:rsidRDefault="00296021" w:rsidP="00296021">
      <w:r>
        <w:t>-</w:t>
      </w:r>
      <w:r>
        <w:t xml:space="preserve"> Đối với hạn mức tín dụng thẻ trên 400.000.000 VND:</w:t>
      </w:r>
      <w:r>
        <w:t xml:space="preserve"> Cần in mẫu</w:t>
      </w:r>
      <w:r>
        <w:t xml:space="preserve"> </w:t>
      </w:r>
      <w:r w:rsidRPr="00296021">
        <w:rPr>
          <w:b/>
        </w:rPr>
        <w:t>Phương án sử dụng vốn</w:t>
      </w:r>
      <w:r>
        <w:t xml:space="preserve"> (Mẫu 04A/THE) và thông tin về người có liên quan</w:t>
      </w:r>
      <w:r>
        <w:t xml:space="preserve"> (</w:t>
      </w:r>
      <w:r w:rsidRPr="00296021">
        <w:rPr>
          <w:color w:val="FF0000"/>
        </w:rPr>
        <w:t>dưới 400 tr không cần i</w:t>
      </w:r>
      <w:r>
        <w:rPr>
          <w:color w:val="FF0000"/>
        </w:rPr>
        <w:t>n</w:t>
      </w:r>
      <w:r>
        <w:t>)</w:t>
      </w:r>
    </w:p>
    <w:p w:rsidR="00296021" w:rsidRDefault="00296021" w:rsidP="00296021"/>
    <w:p w:rsidR="00296021" w:rsidRDefault="00296021" w:rsidP="00296021">
      <w:r>
        <w:t>-</w:t>
      </w:r>
      <w:r>
        <w:t xml:space="preserve"> Báo cáo đề xuất cấp tín dụng qua thẻ tín dụng (Mẫ</w:t>
      </w:r>
      <w:r>
        <w:t xml:space="preserve">u 32/THE): </w:t>
      </w:r>
      <w:r>
        <w:t xml:space="preserve">kết quả xếp hạng tín dụng nội bộ của khách hàng tại thời điểm thẩm định, quyết định cấp tín dụng qua thẻ tín dụng </w:t>
      </w:r>
      <w:r>
        <w:t xml:space="preserve">phải </w:t>
      </w:r>
      <w:r>
        <w:t xml:space="preserve">đạt từ hạng </w:t>
      </w:r>
      <w:r w:rsidRPr="00296021">
        <w:rPr>
          <w:color w:val="FF0000"/>
        </w:rPr>
        <w:t xml:space="preserve">A1 đến A12 </w:t>
      </w:r>
      <w:r>
        <w:t xml:space="preserve">theo hệ thống xếp hạng tín dụng nội bộ của Agribank. </w:t>
      </w:r>
    </w:p>
    <w:p w:rsidR="00296021" w:rsidRDefault="00296021" w:rsidP="00296021"/>
    <w:p w:rsidR="00296021" w:rsidRPr="00296021" w:rsidRDefault="00296021" w:rsidP="00296021">
      <w:pPr>
        <w:rPr>
          <w:b/>
        </w:rPr>
      </w:pPr>
      <w:r w:rsidRPr="00296021">
        <w:rPr>
          <w:b/>
        </w:rPr>
        <w:t>*</w:t>
      </w:r>
      <w:r w:rsidRPr="00296021">
        <w:rPr>
          <w:b/>
        </w:rPr>
        <w:t xml:space="preserve"> Các giấy tờ chứng minh nguồn trả nợ của từng đối tượng khách hàng: </w:t>
      </w:r>
    </w:p>
    <w:p w:rsidR="00296021" w:rsidRDefault="00296021" w:rsidP="00296021">
      <w:bookmarkStart w:id="0" w:name="_GoBack"/>
      <w:bookmarkEnd w:id="0"/>
      <w:r>
        <w:t xml:space="preserve">(i) Đối với khách hàng </w:t>
      </w:r>
      <w:r w:rsidRPr="00296021">
        <w:rPr>
          <w:b/>
        </w:rPr>
        <w:t>trả lương qua tài khoản Agribank</w:t>
      </w:r>
      <w:r>
        <w:t>: sao kê tài khoản trả lương 03 tháng gần nhất và bản sao Hợp đồng lao động/Quyết định tuyển dụng/Quyết định nâng lương/Quyết định tuyển dụng hoặc bổ nhiệm công chức, viên chức/Xác nhận của thủ trưởng đơn vị nơi làm việc/Giấy tờ chứng minh nhận lương hưu và trợ cấp từ Bảo hiểm Xã hội;</w:t>
      </w:r>
    </w:p>
    <w:p w:rsidR="00296021" w:rsidRDefault="00296021" w:rsidP="00296021">
      <w:r>
        <w:t xml:space="preserve">(ii) Đối với khách hàng </w:t>
      </w:r>
      <w:r w:rsidRPr="00296021">
        <w:rPr>
          <w:b/>
        </w:rPr>
        <w:t>trả lương qua tài khoản ngân hàng khác</w:t>
      </w:r>
      <w:r>
        <w:t xml:space="preserve">: sao kê tài khoản trả lương 06 tháng gần nhất có xác nhận của ngân hàng và Bản sao Hợp đồng lao động/Quyết định tuyển dụng/Quyết định nâng lương/Quyết định tuyển dụng hoặc bổ nhiệm công chức, viên chức Xác nhận của thủ trưởng đơn vị nơi làm việc; </w:t>
      </w:r>
    </w:p>
    <w:p w:rsidR="00296021" w:rsidRDefault="00296021" w:rsidP="00296021">
      <w:r>
        <w:t xml:space="preserve">(iii) Đối với khách hàng khác: Báo cáo tình hình thu nhập trong thời gian cấp tín dụng qua thẻ tín dụng (Mẫu 15/THE) và tài liệu chứng minh nguồn thu nhập để trả nợ; </w:t>
      </w:r>
    </w:p>
    <w:p w:rsidR="00296021" w:rsidRDefault="00296021" w:rsidP="00296021"/>
    <w:p w:rsidR="00296021" w:rsidRDefault="00296021" w:rsidP="00296021">
      <w:r>
        <w:t xml:space="preserve">(iv) Riêng đối với </w:t>
      </w:r>
      <w:r w:rsidRPr="00296021">
        <w:rPr>
          <w:b/>
        </w:rPr>
        <w:t>thẻ tín dụng nội địa</w:t>
      </w:r>
      <w:r>
        <w:t>, ngoài các trường hợ</w:t>
      </w:r>
      <w:r>
        <w:t xml:space="preserve">p nêu trên, áp </w:t>
      </w:r>
      <w:r>
        <w:t xml:space="preserve">dụng đối với các trường hợp sau: </w:t>
      </w:r>
    </w:p>
    <w:p w:rsidR="00296021" w:rsidRDefault="00296021" w:rsidP="00296021">
      <w:r>
        <w:t xml:space="preserve">- Đối với khách hàng có số dư tiền gửi bình quân 06 tháng liên tiếp từ 10.000.000 VND (Mười triệu đồng) trở lên: sao kê tài khoản 06 tháng gần nhất và Báo cáo tình hình thu nhập trong thời gian cấp tín dụng qua thẻ tín dụng (Mẫu 15/THE)/Tài liệu chứng minh nguồn thu nhập để trả nợ. </w:t>
      </w:r>
    </w:p>
    <w:p w:rsidR="00296021" w:rsidRDefault="00296021" w:rsidP="00296021">
      <w:r>
        <w:t xml:space="preserve">- Đối với khách hàng là người Việt Nam cư trú trên địa bàn nông thôn hoặc cá nhân có hoạt động sản xuất kinh doanh trong </w:t>
      </w:r>
      <w:r w:rsidRPr="00296021">
        <w:rPr>
          <w:b/>
        </w:rPr>
        <w:t>lĩnh vực nông nghiệp</w:t>
      </w:r>
      <w:r>
        <w:t xml:space="preserve">: Báo cáo tình hình thu nhập trong thời gian cấp tín dụng qua thẻ tín dụng (Mẫu 15/THE)/Tài liệu chứng minh nguồn thu nhập để trả nợ. </w:t>
      </w:r>
    </w:p>
    <w:p w:rsidR="004F5ACF" w:rsidRDefault="00296021" w:rsidP="00296021">
      <w:r>
        <w:t xml:space="preserve">- Đối với </w:t>
      </w:r>
      <w:r w:rsidRPr="00296021">
        <w:rPr>
          <w:b/>
        </w:rPr>
        <w:t>sinh viên</w:t>
      </w:r>
      <w:r>
        <w:t xml:space="preserve"> thuộc các trường Học viện, Đại học, Cao đẳng và Trung cấp có thỏa thuận hợp tác với Agribank/CNPH: Báo cáo tình hình thu nhập trong thời gian cấp tín dụng qua thẻ tín dụng (Mẫu 15/THE)/Tài liệu chứng minh nguồn thu nhập để trả nợ và Xác nhận của trường Học viện/Đại học/Cao đẳng/Trung cấp nơi sinh viên theo học (Mẫu 14/THE).</w:t>
      </w:r>
    </w:p>
    <w:sectPr w:rsidR="004F5ACF" w:rsidSect="00171E3B">
      <w:pgSz w:w="11907" w:h="16840" w:code="9"/>
      <w:pgMar w:top="1134" w:right="1134" w:bottom="1134" w:left="1418" w:header="567" w:footer="567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6021"/>
    <w:rsid w:val="00032988"/>
    <w:rsid w:val="00171E3B"/>
    <w:rsid w:val="001B1366"/>
    <w:rsid w:val="001D561F"/>
    <w:rsid w:val="00203691"/>
    <w:rsid w:val="00266875"/>
    <w:rsid w:val="00296021"/>
    <w:rsid w:val="002A6D4E"/>
    <w:rsid w:val="004B186D"/>
    <w:rsid w:val="004F5ACF"/>
    <w:rsid w:val="007418C5"/>
    <w:rsid w:val="00977006"/>
    <w:rsid w:val="00D15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A6D4E"/>
  </w:style>
  <w:style w:type="paragraph" w:styleId="Heading1">
    <w:name w:val="heading 1"/>
    <w:basedOn w:val="Normal"/>
    <w:next w:val="Normal"/>
    <w:link w:val="Heading1Char"/>
    <w:uiPriority w:val="9"/>
    <w:qFormat/>
    <w:rsid w:val="00203691"/>
    <w:pPr>
      <w:outlineLvl w:val="0"/>
    </w:pPr>
    <w:rPr>
      <w:rFonts w:eastAsiaTheme="majorEastAsia" w:cstheme="majorBidi"/>
      <w:b/>
      <w:bCs/>
      <w:szCs w:val="28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hachND1">
    <w:name w:val="Thach ND1"/>
    <w:basedOn w:val="Normal"/>
    <w:link w:val="ThachND1Char"/>
    <w:qFormat/>
    <w:rsid w:val="004B186D"/>
    <w:rPr>
      <w:rFonts w:eastAsia="Times New Roman" w:cs="Times New Roman"/>
      <w:szCs w:val="28"/>
    </w:rPr>
  </w:style>
  <w:style w:type="character" w:customStyle="1" w:styleId="ThachND1Char">
    <w:name w:val="Thach ND1 Char"/>
    <w:basedOn w:val="DefaultParagraphFont"/>
    <w:link w:val="ThachND1"/>
    <w:rsid w:val="004B186D"/>
    <w:rPr>
      <w:rFonts w:eastAsia="Times New Roman" w:cs="Times New Roman"/>
      <w:szCs w:val="28"/>
    </w:rPr>
  </w:style>
  <w:style w:type="paragraph" w:styleId="NoSpacing">
    <w:name w:val="No Spacing"/>
    <w:uiPriority w:val="1"/>
    <w:qFormat/>
    <w:rsid w:val="007418C5"/>
    <w:pPr>
      <w:jc w:val="left"/>
    </w:pPr>
  </w:style>
  <w:style w:type="paragraph" w:customStyle="1" w:styleId="NoiDung1">
    <w:name w:val="NoiDung1"/>
    <w:autoRedefine/>
    <w:qFormat/>
    <w:rsid w:val="00032988"/>
  </w:style>
  <w:style w:type="character" w:customStyle="1" w:styleId="Heading1Char">
    <w:name w:val="Heading 1 Char"/>
    <w:basedOn w:val="DefaultParagraphFont"/>
    <w:link w:val="Heading1"/>
    <w:uiPriority w:val="9"/>
    <w:rsid w:val="00203691"/>
    <w:rPr>
      <w:rFonts w:eastAsiaTheme="majorEastAsia" w:cstheme="majorBidi"/>
      <w:b/>
      <w:bCs/>
      <w:szCs w:val="28"/>
      <w:lang w:val="vi-V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A6D4E"/>
  </w:style>
  <w:style w:type="paragraph" w:styleId="Heading1">
    <w:name w:val="heading 1"/>
    <w:basedOn w:val="Normal"/>
    <w:next w:val="Normal"/>
    <w:link w:val="Heading1Char"/>
    <w:uiPriority w:val="9"/>
    <w:qFormat/>
    <w:rsid w:val="00203691"/>
    <w:pPr>
      <w:outlineLvl w:val="0"/>
    </w:pPr>
    <w:rPr>
      <w:rFonts w:eastAsiaTheme="majorEastAsia" w:cstheme="majorBidi"/>
      <w:b/>
      <w:bCs/>
      <w:szCs w:val="28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hachND1">
    <w:name w:val="Thach ND1"/>
    <w:basedOn w:val="Normal"/>
    <w:link w:val="ThachND1Char"/>
    <w:qFormat/>
    <w:rsid w:val="004B186D"/>
    <w:rPr>
      <w:rFonts w:eastAsia="Times New Roman" w:cs="Times New Roman"/>
      <w:szCs w:val="28"/>
    </w:rPr>
  </w:style>
  <w:style w:type="character" w:customStyle="1" w:styleId="ThachND1Char">
    <w:name w:val="Thach ND1 Char"/>
    <w:basedOn w:val="DefaultParagraphFont"/>
    <w:link w:val="ThachND1"/>
    <w:rsid w:val="004B186D"/>
    <w:rPr>
      <w:rFonts w:eastAsia="Times New Roman" w:cs="Times New Roman"/>
      <w:szCs w:val="28"/>
    </w:rPr>
  </w:style>
  <w:style w:type="paragraph" w:styleId="NoSpacing">
    <w:name w:val="No Spacing"/>
    <w:uiPriority w:val="1"/>
    <w:qFormat/>
    <w:rsid w:val="007418C5"/>
    <w:pPr>
      <w:jc w:val="left"/>
    </w:pPr>
  </w:style>
  <w:style w:type="paragraph" w:customStyle="1" w:styleId="NoiDung1">
    <w:name w:val="NoiDung1"/>
    <w:autoRedefine/>
    <w:qFormat/>
    <w:rsid w:val="00032988"/>
  </w:style>
  <w:style w:type="character" w:customStyle="1" w:styleId="Heading1Char">
    <w:name w:val="Heading 1 Char"/>
    <w:basedOn w:val="DefaultParagraphFont"/>
    <w:link w:val="Heading1"/>
    <w:uiPriority w:val="9"/>
    <w:rsid w:val="00203691"/>
    <w:rPr>
      <w:rFonts w:eastAsiaTheme="majorEastAsia" w:cstheme="majorBidi"/>
      <w:b/>
      <w:bCs/>
      <w:szCs w:val="28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264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83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1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53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46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22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358</Words>
  <Characters>2045</Characters>
  <Application>Microsoft Office Word</Application>
  <DocSecurity>0</DocSecurity>
  <Lines>17</Lines>
  <Paragraphs>4</Paragraphs>
  <ScaleCrop>false</ScaleCrop>
  <Company/>
  <LinksUpToDate>false</LinksUpToDate>
  <CharactersWithSpaces>2399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 - 3612</dc:creator>
  <cp:lastModifiedBy>Hoang Thach - 3612</cp:lastModifiedBy>
  <cp:revision>1</cp:revision>
  <dcterms:created xsi:type="dcterms:W3CDTF">2024-08-16T08:17:00Z</dcterms:created>
  <dcterms:modified xsi:type="dcterms:W3CDTF">2024-08-16T08:22:00Z</dcterms:modified>
</cp:coreProperties>
</file>