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413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eastAsia="宋体" w:cs="Calibri"/>
          <w:b/>
          <w:bCs/>
          <w:sz w:val="44"/>
          <w:szCs w:val="44"/>
        </w:rPr>
      </w:pPr>
      <w:r>
        <w:rPr>
          <w:rFonts w:hint="default" w:ascii="Calibri" w:hAnsi="Calibri" w:eastAsia="宋体" w:cs="Calibri"/>
          <w:b/>
          <w:bCs/>
          <w:sz w:val="44"/>
          <w:szCs w:val="44"/>
        </w:rPr>
        <w:t>Replication Memo (Vietnam):</w:t>
      </w:r>
    </w:p>
    <w:p w14:paraId="40663E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宋体" w:cs="Calibri"/>
          <w:b/>
          <w:bCs/>
          <w:sz w:val="44"/>
          <w:szCs w:val="44"/>
        </w:rPr>
        <w:t xml:space="preserve">Corporate Political Connections </w:t>
      </w:r>
      <w:r>
        <w:rPr>
          <w:rFonts w:hint="default" w:ascii="Calibri" w:hAnsi="Calibri" w:cs="Calibri"/>
          <w:sz w:val="44"/>
          <w:szCs w:val="44"/>
        </w:rPr>
        <w:t>&amp; Environmental Outcomes</w:t>
      </w:r>
    </w:p>
    <w:p w14:paraId="6BDD054F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Introduction</w:t>
      </w:r>
    </w:p>
    <w:p w14:paraId="2D527F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120" w:lineRule="auto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This memo provides a minimal, Vietnam-based replication of Heitz, Wang, and Wang (2023), </w:t>
      </w:r>
      <w:r>
        <w:rPr>
          <w:rStyle w:val="9"/>
          <w:rFonts w:hint="default" w:ascii="Calibri" w:hAnsi="Calibri" w:cs="Calibri"/>
          <w:sz w:val="21"/>
          <w:szCs w:val="21"/>
        </w:rPr>
        <w:t>Corporate Political Connections and Favorable Environmental Regulatory Enforcement</w:t>
      </w:r>
      <w:r>
        <w:rPr>
          <w:rFonts w:hint="default" w:ascii="Calibri" w:hAnsi="Calibri" w:cs="Calibri"/>
          <w:sz w:val="21"/>
          <w:szCs w:val="21"/>
        </w:rPr>
        <w:t xml:space="preserve">. The original paper studies whether politically connected firms receive more favorable environmental regulatory enforcement by the U.S. EPA using a close-election setting, finding no difference in investigations/emissions but lower enforcement and penalties for connected firms. </w:t>
      </w:r>
    </w:p>
    <w:p w14:paraId="3BA769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120" w:lineRule="auto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Because Vietnam lacks an institutional setting comparable to U.S. federal close elections and PAC contribution data (needed to reconstruct WinRatio), and because firm-level environmental enforcement/penalty microdata analogous to EPA ICIS are not readily available, I implement a “minimal replication” using feasible proxies: (i) </w:t>
      </w:r>
      <w:r>
        <w:rPr>
          <w:rStyle w:val="8"/>
          <w:rFonts w:hint="default" w:ascii="Calibri" w:hAnsi="Calibri" w:cs="Calibri"/>
          <w:sz w:val="21"/>
          <w:szCs w:val="21"/>
        </w:rPr>
        <w:t>SOE-based political connection proxies</w:t>
      </w:r>
      <w:r>
        <w:rPr>
          <w:rFonts w:hint="default" w:ascii="Calibri" w:hAnsi="Calibri" w:cs="Calibri"/>
          <w:sz w:val="21"/>
          <w:szCs w:val="21"/>
        </w:rPr>
        <w:t xml:space="preserve"> and (ii) </w:t>
      </w:r>
      <w:r>
        <w:rPr>
          <w:rStyle w:val="8"/>
          <w:rFonts w:hint="default" w:ascii="Calibri" w:hAnsi="Calibri" w:cs="Calibri"/>
          <w:sz w:val="21"/>
          <w:szCs w:val="21"/>
        </w:rPr>
        <w:t>province-year PM2.5</w:t>
      </w:r>
      <w:r>
        <w:rPr>
          <w:rFonts w:hint="default" w:ascii="Calibri" w:hAnsi="Calibri" w:cs="Calibri"/>
          <w:sz w:val="21"/>
          <w:szCs w:val="21"/>
        </w:rPr>
        <w:t xml:space="preserve"> as the environmental outcome.</w:t>
      </w:r>
    </w:p>
    <w:p w14:paraId="69F53F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120" w:lineRule="auto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1"/>
          <w:szCs w:val="21"/>
        </w:rPr>
        <w:t>Deliverables include Table 1 (summary statistics) and Table 2 (baseline regressions), plus an exploratory DiD appendix aligned with a major regulatory milestone in Vietnam.</w:t>
      </w:r>
    </w:p>
    <w:p w14:paraId="1654EA1B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Background</w:t>
      </w:r>
    </w:p>
    <w:p w14:paraId="3FFEB5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original paper emphasizes that environmental enforcement is subject to agency discretion: the EPA enforces the Clean Air Act, monitors criteria pollutants (including PM2.5), and has discretion over investigations and enforcement given limited resources. 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 xml:space="preserve">In the paper’s institutional discussion, discretion arises because enforcement choices involve balancing resource constraints, expected success, and agency priorities (e.g., as discussed in the Heckler v. Chaney context). </w:t>
      </w:r>
    </w:p>
    <w:p w14:paraId="709928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 Vietnam, comparable centralized administrative/judicial enforcement microdata at the firm level (e.g., “investigation counts,” “penalty amounts”) are not publicly standardized at scale. Therefore, to preserve the paper’s empirical structure while adapting to data constraints, I use </w:t>
      </w:r>
      <w:r>
        <w:rPr>
          <w:rStyle w:val="8"/>
          <w:rFonts w:hint="default" w:ascii="Calibri" w:hAnsi="Calibri" w:cs="Calibri"/>
          <w:sz w:val="21"/>
          <w:szCs w:val="21"/>
        </w:rPr>
        <w:t>ambient air pollution (PM2.5)</w:t>
      </w:r>
      <w:r>
        <w:rPr>
          <w:rFonts w:hint="default" w:ascii="Calibri" w:hAnsi="Calibri" w:cs="Calibri"/>
          <w:sz w:val="21"/>
          <w:szCs w:val="21"/>
        </w:rPr>
        <w:t xml:space="preserve"> as the main environmental outcome at the province-year level, assigned to firms based on headquarters province.</w:t>
      </w:r>
    </w:p>
    <w:p w14:paraId="5BF3F9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</w:p>
    <w:p w14:paraId="573180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</w:p>
    <w:p w14:paraId="616BD2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</w:p>
    <w:p w14:paraId="49E98C91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Identification of Political Connections</w:t>
      </w:r>
    </w:p>
    <w:p w14:paraId="4B710F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3.1. Paper’s identification (what I cannot replicate 1:1)</w:t>
      </w:r>
    </w:p>
    <w:p w14:paraId="7585AB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paper defines political connections via PAC donations and addresses endogeneity using an RDD framework around close elections. It assumes a meaningful random component in close election outcomes and compares firms connected to politicians who narrowly win vs. narrowly lose. 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 xml:space="preserve">The key connection variable WinRatio is constructed from the number of winning and losing candidates supported by a firm’s PAC in the prior election cycle. </w:t>
      </w:r>
      <w:r>
        <w:rPr>
          <w:rFonts w:hint="default" w:ascii="Calibri" w:hAnsi="Calibri" w:cs="Calibri"/>
          <w:sz w:val="21"/>
          <w:szCs w:val="21"/>
        </w:rPr>
        <w:t>Vietnam does not have the same (public, standardized) setting of PAC contributions and close federal elections that would allow reconstruction of WinRatio or replication of the close-election RDD.</w:t>
      </w:r>
    </w:p>
    <w:p w14:paraId="642B32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3.2. Vietnam proxy (replacement explanatory variables)</w:t>
      </w:r>
    </w:p>
    <w:p w14:paraId="3AF654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Following your guidance (“if WinRatio cannot be reconstructed… propose another explanatory variable”), I use two SOE-related proxies:</w:t>
      </w:r>
    </w:p>
    <w:p w14:paraId="5607F48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Chars="0" w:right="0" w:rightChars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Style w:val="8"/>
          <w:rFonts w:hint="default" w:ascii="Calibri" w:hAnsi="Calibri" w:cs="Calibri"/>
          <w:sz w:val="21"/>
          <w:szCs w:val="21"/>
        </w:rPr>
        <w:t>SOE_final</w:t>
      </w:r>
      <w:r>
        <w:rPr>
          <w:rFonts w:hint="default" w:ascii="Calibri" w:hAnsi="Calibri" w:cs="Calibri"/>
          <w:sz w:val="21"/>
          <w:szCs w:val="21"/>
        </w:rPr>
        <w:t>: a conservative SOE indicator derived from available ownership information in the collected firm dataset.</w:t>
      </w:r>
    </w:p>
    <w:p w14:paraId="4F707EF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Chars="0" w:right="0" w:rightChars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Style w:val="8"/>
          <w:rFonts w:hint="default" w:ascii="Calibri" w:hAnsi="Calibri" w:cs="Calibri"/>
          <w:sz w:val="21"/>
          <w:szCs w:val="21"/>
        </w:rPr>
        <w:t>SOE_share10</w:t>
      </w:r>
      <w:r>
        <w:rPr>
          <w:rFonts w:hint="default" w:ascii="Calibri" w:hAnsi="Calibri" w:cs="Calibri"/>
          <w:sz w:val="21"/>
          <w:szCs w:val="21"/>
        </w:rPr>
        <w:t>: robustness proxy equal to 1 when observed state ownership share ≥ 10% (when share is available).</w:t>
      </w:r>
    </w:p>
    <w:p w14:paraId="765D48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Firm-level summary indicates SOE_final is rare in this sample (17 SOE firms vs. 425 non-SOE firms in the Option A sample), while SOE_share10 identifies more firms (33 vs. 409). </w:t>
      </w:r>
    </w:p>
    <w:p w14:paraId="4004F6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Interpretation caveat:</w:t>
      </w:r>
      <w:r>
        <w:rPr>
          <w:rFonts w:hint="default" w:ascii="Calibri" w:hAnsi="Calibri" w:cs="Calibri"/>
          <w:sz w:val="21"/>
          <w:szCs w:val="21"/>
        </w:rPr>
        <w:t xml:space="preserve"> Unlike the paper’s RDD, SOE status is potentially endogenous to unobserved firm and location characteristics. Therefore, the baseline results should be interpreted as </w:t>
      </w:r>
      <w:r>
        <w:rPr>
          <w:rStyle w:val="8"/>
          <w:rFonts w:hint="default" w:ascii="Calibri" w:hAnsi="Calibri" w:cs="Calibri"/>
          <w:sz w:val="21"/>
          <w:szCs w:val="21"/>
        </w:rPr>
        <w:t>associations</w:t>
      </w:r>
      <w:r>
        <w:rPr>
          <w:rFonts w:hint="default" w:ascii="Calibri" w:hAnsi="Calibri" w:cs="Calibri"/>
          <w:sz w:val="21"/>
          <w:szCs w:val="21"/>
        </w:rPr>
        <w:t xml:space="preserve"> under controls and fixed effects, not causal RDD estimates.</w:t>
      </w:r>
    </w:p>
    <w:p w14:paraId="083975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120" w:lineRule="auto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Data Sources and Variables</w:t>
      </w:r>
    </w:p>
    <w:p w14:paraId="4B9637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120" w:lineRule="auto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4.1. Firm panel (Vietnam)</w:t>
      </w:r>
    </w:p>
    <w:p w14:paraId="547C61D7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 xml:space="preserve">-  </w:t>
      </w:r>
      <w:r>
        <w:rPr>
          <w:rFonts w:hint="default"/>
        </w:rPr>
        <w:t>Firm-level panel (2020–2022) constructed from Vietnamese market/financial data (CAFEF-based pipeline).</w:t>
      </w:r>
    </w:p>
    <w:p w14:paraId="59488CD5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 xml:space="preserve">-    </w:t>
      </w:r>
      <w:r>
        <w:rPr>
          <w:rFonts w:hint="default"/>
        </w:rPr>
        <w:t>Headquarters province is used to map each firm-year to province-level pollution.</w:t>
      </w:r>
    </w:p>
    <w:p w14:paraId="2C4C76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4.2. Air pollution (PM2.5)</w:t>
      </w:r>
    </w:p>
    <w:p w14:paraId="1E1D94E2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>-  A</w:t>
      </w:r>
      <w:r>
        <w:rPr>
          <w:rFonts w:hint="default"/>
        </w:rPr>
        <w:t>nnual PM2.5 is constructed at the province-year level and merged to firm-year observations by province and year.</w:t>
      </w:r>
    </w:p>
    <w:p w14:paraId="0D9E8F08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 xml:space="preserve">-  </w:t>
      </w:r>
      <w:r>
        <w:rPr>
          <w:rFonts w:hint="default"/>
        </w:rPr>
        <w:t>Merge diagnostics show the panel contains 5,576 rows before applying the Option A restriction; 415 rows (7.44%) have missing PM2.5 after merge, affecting 36 tickers.</w:t>
      </w:r>
    </w:p>
    <w:p w14:paraId="00AC9A5A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 xml:space="preserve">-  </w:t>
      </w:r>
      <w:r>
        <w:rPr>
          <w:rFonts w:hint="default"/>
          <w:b/>
          <w:bCs/>
        </w:rPr>
        <w:t>Option A analysis sample</w:t>
      </w:r>
      <w:r>
        <w:rPr>
          <w:rFonts w:hint="default"/>
        </w:rPr>
        <w:t xml:space="preserve"> drops observations with missing PM2.5 and missing province mapping.</w:t>
      </w:r>
    </w:p>
    <w:p w14:paraId="22DBC6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4.3. Controls</w:t>
      </w:r>
    </w:p>
    <w:p w14:paraId="78840DC1">
      <w:pPr>
        <w:bidi w:val="0"/>
        <w:rPr>
          <w:rFonts w:hint="default"/>
        </w:rPr>
      </w:pPr>
      <w:r>
        <w:rPr>
          <w:rFonts w:hint="default"/>
        </w:rPr>
        <w:t>Given time constraints and variable availability, I use a standard minimal set consistent with the paper’s control spirit (size and financial conditions):</w:t>
      </w:r>
    </w:p>
    <w:p w14:paraId="6F857D6D">
      <w:pPr>
        <w:numPr>
          <w:numId w:val="0"/>
        </w:numPr>
        <w:bidi w:val="0"/>
        <w:ind w:leftChars="0"/>
        <w:rPr>
          <w:rFonts w:hint="default"/>
          <w:b w:val="0"/>
          <w:bCs w:val="0"/>
        </w:rPr>
      </w:pPr>
      <w:r>
        <w:rPr>
          <w:rFonts w:hint="eastAsia"/>
          <w:b/>
          <w:bCs/>
          <w:lang w:val="en-US" w:eastAsia="zh-CN"/>
        </w:rPr>
        <w:t xml:space="preserve">-  </w:t>
      </w:r>
      <w:r>
        <w:rPr>
          <w:rFonts w:hint="default"/>
          <w:b/>
          <w:bCs/>
        </w:rPr>
        <w:t xml:space="preserve">SIZE </w:t>
      </w:r>
      <w:r>
        <w:rPr>
          <w:rFonts w:hint="default"/>
          <w:b w:val="0"/>
          <w:bCs w:val="0"/>
        </w:rPr>
        <w:t>= ln(total assets)</w:t>
      </w:r>
    </w:p>
    <w:p w14:paraId="14C63D08">
      <w:pPr>
        <w:numPr>
          <w:numId w:val="0"/>
        </w:numPr>
        <w:bidi w:val="0"/>
        <w:ind w:leftChars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-  </w:t>
      </w:r>
      <w:r>
        <w:rPr>
          <w:rFonts w:hint="default"/>
          <w:b/>
          <w:bCs/>
        </w:rPr>
        <w:t>LEVERAGE</w:t>
      </w:r>
    </w:p>
    <w:p w14:paraId="6B67C425">
      <w:pPr>
        <w:numPr>
          <w:numId w:val="0"/>
        </w:numPr>
        <w:bidi w:val="0"/>
        <w:ind w:leftChars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-  </w:t>
      </w:r>
      <w:r>
        <w:rPr>
          <w:rFonts w:hint="default"/>
          <w:b/>
          <w:bCs/>
        </w:rPr>
        <w:t>ROA</w:t>
      </w:r>
    </w:p>
    <w:p w14:paraId="126CDF1F">
      <w:pPr>
        <w:numPr>
          <w:numId w:val="0"/>
        </w:numPr>
        <w:bidi w:val="0"/>
        <w:ind w:leftChars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-  </w:t>
      </w:r>
      <w:r>
        <w:rPr>
          <w:rFonts w:hint="default"/>
          <w:b/>
          <w:bCs/>
        </w:rPr>
        <w:t>LOSS</w:t>
      </w:r>
    </w:p>
    <w:p w14:paraId="700C24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4.4. Pollution intensity grouping (for appendix DiD)</w:t>
      </w:r>
    </w:p>
    <w:p w14:paraId="253832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dataset includes a categorical variable </w:t>
      </w:r>
      <w:r>
        <w:rPr>
          <w:rStyle w:val="10"/>
          <w:rFonts w:hint="default" w:ascii="Calibri" w:hAnsi="Calibri" w:cs="Calibri"/>
          <w:sz w:val="21"/>
          <w:szCs w:val="21"/>
        </w:rPr>
        <w:t>pollution_group</w:t>
      </w:r>
      <w:r>
        <w:rPr>
          <w:rFonts w:hint="default" w:ascii="Calibri" w:hAnsi="Calibri" w:cs="Calibri"/>
          <w:sz w:val="21"/>
          <w:szCs w:val="21"/>
        </w:rPr>
        <w:t xml:space="preserve"> with values: </w:t>
      </w:r>
      <w:r>
        <w:rPr>
          <w:rStyle w:val="8"/>
          <w:rFonts w:hint="default" w:ascii="Calibri" w:hAnsi="Calibri" w:cs="Calibri"/>
          <w:sz w:val="21"/>
          <w:szCs w:val="21"/>
        </w:rPr>
        <w:t>other (2759), high (1292), low (1110)</w:t>
      </w:r>
      <w:r>
        <w:rPr>
          <w:rFonts w:hint="default" w:ascii="Calibri" w:hAnsi="Calibri" w:cs="Calibri"/>
          <w:sz w:val="21"/>
          <w:szCs w:val="21"/>
        </w:rPr>
        <w:t xml:space="preserve"> in the DiD sample used. 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This allows a simple “high-pollution” treated group definition for an exploratory DiD design.</w:t>
      </w:r>
    </w:p>
    <w:p w14:paraId="0D6B0220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Empirical Analysis</w:t>
      </w:r>
    </w:p>
    <w:p w14:paraId="79B61B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5.1. Table 1: Summary statistics (Replication—Vietnam)</w:t>
      </w:r>
    </w:p>
    <w:p w14:paraId="1BA700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Table 1 follows the paper-style layout but adapted to Vietnam and available data:</w:t>
      </w:r>
    </w:p>
    <w:p w14:paraId="4E11661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Panel A (Political connection proxies):</w:t>
      </w:r>
      <w:r>
        <w:rPr>
          <w:rFonts w:hint="default" w:ascii="Calibri" w:hAnsi="Calibri" w:cs="Calibri"/>
          <w:sz w:val="21"/>
          <w:szCs w:val="21"/>
        </w:rPr>
        <w:t xml:space="preserve"> SOE_final and SOE_share10 (means interpreted as shares)</w:t>
      </w:r>
    </w:p>
    <w:p w14:paraId="090E70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Panel B (Firm controls):</w:t>
      </w:r>
      <w:r>
        <w:rPr>
          <w:rFonts w:hint="default" w:ascii="Calibri" w:hAnsi="Calibri" w:cs="Calibri"/>
          <w:sz w:val="21"/>
          <w:szCs w:val="21"/>
        </w:rPr>
        <w:t xml:space="preserve"> SIZE, LEVERAGE, ROA, LOSS</w:t>
      </w:r>
    </w:p>
    <w:p w14:paraId="34D5D0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Panel C (Air pollution):</w:t>
      </w:r>
      <w:r>
        <w:rPr>
          <w:rFonts w:hint="default" w:ascii="Calibri" w:hAnsi="Calibri" w:cs="Calibri"/>
          <w:sz w:val="21"/>
          <w:szCs w:val="21"/>
        </w:rPr>
        <w:t xml:space="preserve"> PM2.5 (pm25_mean)</w:t>
      </w:r>
    </w:p>
    <w:p w14:paraId="74E446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This table documents the analysis sample size and the distribution of key variables used in Table 2.</w:t>
      </w:r>
    </w:p>
    <w:p w14:paraId="20B180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5.2. Table 2: Baseline regressions (Replication—Vietnam)</w:t>
      </w:r>
    </w:p>
    <w:p w14:paraId="3BCE417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dependent variable is </w:t>
      </w:r>
      <w:r>
        <w:rPr>
          <w:rStyle w:val="8"/>
          <w:rFonts w:hint="default" w:ascii="Calibri" w:hAnsi="Calibri" w:cs="Calibri"/>
          <w:sz w:val="21"/>
          <w:szCs w:val="21"/>
        </w:rPr>
        <w:t>PM2.5 (pm25_mean)</w:t>
      </w:r>
      <w:r>
        <w:rPr>
          <w:rFonts w:hint="default" w:ascii="Calibri" w:hAnsi="Calibri" w:cs="Calibri"/>
          <w:sz w:val="21"/>
          <w:szCs w:val="21"/>
        </w:rPr>
        <w:t xml:space="preserve"> assigned to firms by province-year. Standard errors are clustered at the firm (ticker) level; coefficients are reported with standard errors in parentheses.</w:t>
      </w:r>
    </w:p>
    <w:p w14:paraId="304BF7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Style w:val="8"/>
          <w:rFonts w:hint="default" w:ascii="Calibri" w:hAnsi="Calibri" w:eastAsia="宋体" w:cs="Calibri"/>
          <w:sz w:val="21"/>
          <w:szCs w:val="21"/>
        </w:rPr>
        <w:t>Regression framework.</w:t>
      </w:r>
      <w:r>
        <w:rPr>
          <w:rFonts w:hint="default" w:ascii="Calibri" w:hAnsi="Calibri" w:eastAsia="宋体" w:cs="Calibri"/>
          <w:sz w:val="21"/>
          <w:szCs w:val="21"/>
        </w:rPr>
        <w:t xml:space="preserve"> I estimate the following baseline specification:</w:t>
      </w:r>
    </w:p>
    <w:p w14:paraId="169BCC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center"/>
        <w:textAlignment w:val="auto"/>
        <w:rPr>
          <w:rFonts w:hint="default" w:ascii="Calibri" w:hAnsi="Calibri" w:eastAsia="宋体" w:cs="Calibri"/>
          <w:b/>
          <w:bCs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sz w:val="21"/>
          <w:szCs w:val="21"/>
        </w:rPr>
        <w:t>PM25_{p(i),t} = α + β·Connection_i + γ′X_{it} + ϕ_p + τ_t + ε_{it}</w:t>
      </w:r>
    </w:p>
    <w:p w14:paraId="0600DBD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Calibri" w:hAnsi="Calibri" w:eastAsia="宋体" w:cs="Calibri"/>
          <w:sz w:val="21"/>
          <w:szCs w:val="21"/>
        </w:rPr>
        <w:t>Here PM25_{p(i),t} is annual PM2.5 in the headquarters province p(i) of firm i in year t. Connection_i is proxied by SOE_final in Columns (1)–(3) and replaced by SOE_share10 in Column (4) as a robustness check. X_{it} includes SIZE, LEVERAGE, ROA, and LOSS; ϕ_p and τ_t denote province and year fixed effects (included depending on the column), and standard errors are clustered at the firm (ticker) level.</w:t>
      </w:r>
    </w:p>
    <w:p w14:paraId="38765F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Specifications mimic the progression in the original paper’s Table 2 style (baseline → add controls → add FE → robustness proxy), but adapted to available Vietnam variables:</w:t>
      </w:r>
    </w:p>
    <w:p w14:paraId="56A0B0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(1)</w:t>
      </w:r>
      <w:r>
        <w:rPr>
          <w:rFonts w:hint="default" w:ascii="Calibri" w:hAnsi="Calibri" w:cs="Calibri"/>
          <w:sz w:val="21"/>
          <w:szCs w:val="21"/>
        </w:rPr>
        <w:t xml:space="preserve"> PM2.5 ~ SOE_final + Year FE</w:t>
      </w:r>
    </w:p>
    <w:p w14:paraId="2D636E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(2)</w:t>
      </w:r>
      <w:r>
        <w:rPr>
          <w:rFonts w:hint="default" w:ascii="Calibri" w:hAnsi="Calibri" w:cs="Calibri"/>
          <w:sz w:val="21"/>
          <w:szCs w:val="21"/>
        </w:rPr>
        <w:t xml:space="preserve"> PM2.5 ~ SOE_final + Controls + Year FE</w:t>
      </w:r>
    </w:p>
    <w:p w14:paraId="6D0AAE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(3)</w:t>
      </w:r>
      <w:r>
        <w:rPr>
          <w:rFonts w:hint="default" w:ascii="Calibri" w:hAnsi="Calibri" w:cs="Calibri"/>
          <w:sz w:val="21"/>
          <w:szCs w:val="21"/>
        </w:rPr>
        <w:t xml:space="preserve"> PM2.5 ~ SOE_final + Controls + Province FE + Year FE</w:t>
      </w:r>
    </w:p>
    <w:p w14:paraId="03D6D6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(4)</w:t>
      </w:r>
      <w:r>
        <w:rPr>
          <w:rFonts w:hint="default" w:ascii="Calibri" w:hAnsi="Calibri" w:cs="Calibri"/>
          <w:sz w:val="21"/>
          <w:szCs w:val="21"/>
        </w:rPr>
        <w:t xml:space="preserve"> Robustness: replace SOE_final with </w:t>
      </w:r>
      <w:r>
        <w:rPr>
          <w:rStyle w:val="8"/>
          <w:rFonts w:hint="default" w:ascii="Calibri" w:hAnsi="Calibri" w:cs="Calibri"/>
          <w:sz w:val="21"/>
          <w:szCs w:val="21"/>
        </w:rPr>
        <w:t>SOE_share10</w:t>
      </w:r>
      <w:r>
        <w:rPr>
          <w:rFonts w:hint="default" w:ascii="Calibri" w:hAnsi="Calibri" w:cs="Calibri"/>
          <w:sz w:val="21"/>
          <w:szCs w:val="21"/>
        </w:rPr>
        <w:t>, keeping Controls + Province FE + Year FE</w:t>
      </w:r>
    </w:p>
    <w:p w14:paraId="6A741CB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This structure preserves the “Table 2 logic” of the original paper (main connection measure + controls + fixed effects + robustness), while using feasible Vietnam proxies.</w:t>
      </w:r>
    </w:p>
    <w:p w14:paraId="45E2F7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5.3. Appendix (Exploratory): DiD around a Vietnam regulatory milestone using province-year intensity</w:t>
      </w:r>
    </w:p>
    <w:p w14:paraId="690876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Although not required for Table 1/2 reproduction, I include an exploratory DiD appendix aligned with the idea that institutional changes can shift environmental outcomes.</w:t>
      </w:r>
    </w:p>
    <w:p w14:paraId="5E5AAD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Motivation.</w:t>
      </w:r>
      <w:r>
        <w:rPr>
          <w:rFonts w:hint="default" w:ascii="Calibri" w:hAnsi="Calibri" w:cs="Calibri"/>
          <w:sz w:val="21"/>
          <w:szCs w:val="21"/>
        </w:rPr>
        <w:t xml:space="preserve"> Vietnam’s Environmental Protection Law (2020) became effective in 2022, providing a natural “post” marker for an exploratory design (nationwide policy change, limited time series).</w:t>
      </w:r>
    </w:p>
    <w:p w14:paraId="4A4187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Key challenge (level alignment).</w:t>
      </w:r>
      <w:r>
        <w:rPr>
          <w:rFonts w:hint="default" w:ascii="Calibri" w:hAnsi="Calibri" w:cs="Calibri"/>
          <w:sz w:val="21"/>
          <w:szCs w:val="21"/>
        </w:rPr>
        <w:t xml:space="preserve"> Because PM2.5 is measured at province-year, the DiD should be formulated at a compatible aggregation. I therefore implement a </w:t>
      </w:r>
      <w:r>
        <w:rPr>
          <w:rStyle w:val="8"/>
          <w:rFonts w:hint="default" w:ascii="Calibri" w:hAnsi="Calibri" w:cs="Calibri"/>
          <w:sz w:val="21"/>
          <w:szCs w:val="21"/>
        </w:rPr>
        <w:t>province-year DiD with treatment intensity</w:t>
      </w:r>
      <w:r>
        <w:rPr>
          <w:rFonts w:hint="default" w:ascii="Calibri" w:hAnsi="Calibri" w:cs="Calibri"/>
          <w:sz w:val="21"/>
          <w:szCs w:val="21"/>
        </w:rPr>
        <w:t>, not a firm-level DiD.</w:t>
      </w:r>
    </w:p>
    <w:p w14:paraId="69CE46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Design.</w:t>
      </w:r>
    </w:p>
    <w:p w14:paraId="1A2BB0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Fonts w:hint="default" w:ascii="Calibri" w:hAnsi="Calibri" w:cs="Calibri"/>
          <w:sz w:val="21"/>
          <w:szCs w:val="21"/>
        </w:rPr>
        <w:t>Unit: province-year</w:t>
      </w:r>
    </w:p>
    <w:p w14:paraId="48EBC0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Fonts w:hint="default" w:ascii="Calibri" w:hAnsi="Calibri" w:cs="Calibri"/>
          <w:sz w:val="21"/>
          <w:szCs w:val="21"/>
        </w:rPr>
        <w:t>Post: year 2022 (Post=1 for year ≥ 2022)</w:t>
      </w:r>
    </w:p>
    <w:p w14:paraId="3E5182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Fonts w:hint="default" w:ascii="Calibri" w:hAnsi="Calibri" w:cs="Calibri"/>
          <w:sz w:val="21"/>
          <w:szCs w:val="21"/>
        </w:rPr>
        <w:t xml:space="preserve">Treatment intensity: </w:t>
      </w:r>
      <w:r>
        <w:rPr>
          <w:rStyle w:val="10"/>
          <w:rFonts w:hint="default" w:ascii="Calibri" w:hAnsi="Calibri" w:cs="Calibri"/>
          <w:sz w:val="21"/>
          <w:szCs w:val="21"/>
        </w:rPr>
        <w:t>treated_intensity_pre</w:t>
      </w:r>
      <w:r>
        <w:rPr>
          <w:rFonts w:hint="default" w:ascii="Calibri" w:hAnsi="Calibri" w:cs="Calibri"/>
          <w:sz w:val="21"/>
          <w:szCs w:val="21"/>
        </w:rPr>
        <w:t xml:space="preserve"> = share of “high” pollution-group firms in each province computed from </w:t>
      </w:r>
      <w:r>
        <w:rPr>
          <w:rStyle w:val="8"/>
          <w:rFonts w:hint="default" w:ascii="Calibri" w:hAnsi="Calibri" w:cs="Calibri"/>
          <w:sz w:val="21"/>
          <w:szCs w:val="21"/>
        </w:rPr>
        <w:t>pre-period (2020–2021)</w:t>
      </w:r>
    </w:p>
    <w:p w14:paraId="61794A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Fonts w:hint="default" w:ascii="Calibri" w:hAnsi="Calibri" w:cs="Calibri"/>
          <w:sz w:val="21"/>
          <w:szCs w:val="21"/>
        </w:rPr>
        <w:t>Regression:</w:t>
      </w:r>
      <w:r>
        <w:rPr>
          <w:rFonts w:hint="default" w:ascii="Calibri" w:hAnsi="Calibri" w:cs="Calibri"/>
          <w:sz w:val="21"/>
          <w:szCs w:val="21"/>
        </w:rPr>
        <w:br w:type="textWrapping"/>
      </w:r>
      <w:r>
        <w:rPr>
          <w:rFonts w:hint="default" w:ascii="Calibri" w:hAnsi="Calibri" w:cs="Calibri"/>
          <w:sz w:val="21"/>
          <w:szCs w:val="21"/>
        </w:rPr>
        <w:t>PM2.5_{p,t} ~ treated_intensity_pre × Post_{t} + Province FE + Year FE</w:t>
      </w:r>
      <w:r>
        <w:rPr>
          <w:rFonts w:hint="default" w:ascii="Calibri" w:hAnsi="Calibri" w:cs="Calibri"/>
          <w:sz w:val="21"/>
          <w:szCs w:val="21"/>
        </w:rPr>
        <w:br w:type="textWrapping"/>
      </w:r>
      <w:r>
        <w:rPr>
          <w:rFonts w:hint="default" w:ascii="Calibri" w:hAnsi="Calibri" w:cs="Calibri"/>
          <w:sz w:val="21"/>
          <w:szCs w:val="21"/>
        </w:rPr>
        <w:t>SE clustered at province.</w:t>
      </w:r>
    </w:p>
    <w:p w14:paraId="78EDF7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Diagnostics.</w:t>
      </w:r>
      <w:r>
        <w:rPr>
          <w:rFonts w:hint="default" w:ascii="Calibri" w:hAnsi="Calibri" w:cs="Calibri"/>
          <w:sz w:val="21"/>
          <w:szCs w:val="21"/>
        </w:rPr>
        <w:t xml:space="preserve"> The province-level pre-period treatment intensity is well-defined for 41 provinces (mean 0.332, median 0.25, range 0 to 1). 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 xml:space="preserve">The resulting province-year panel contains 123 observations (= 41 provinces × 3 years, 2020–2022). </w:t>
      </w:r>
    </w:p>
    <w:p w14:paraId="3DB5D3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Result summary (qualitative).</w:t>
      </w:r>
      <w:r>
        <w:rPr>
          <w:rFonts w:hint="default" w:ascii="Calibri" w:hAnsi="Calibri" w:cs="Calibri"/>
          <w:sz w:val="21"/>
          <w:szCs w:val="21"/>
        </w:rPr>
        <w:t xml:space="preserve"> The DiD interaction estimate is negative but not statistically significant in this short panel; this appendix is reported as exploratory and not interpreted as a definitive causal estimate.</w:t>
      </w:r>
    </w:p>
    <w:p w14:paraId="7E99D0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Limitations and Next Steps (brief)</w:t>
      </w:r>
    </w:p>
    <w:p w14:paraId="38159DE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Identification strength.</w:t>
      </w:r>
      <w:r>
        <w:rPr>
          <w:rFonts w:hint="default" w:ascii="Calibri" w:hAnsi="Calibri" w:cs="Calibri"/>
          <w:sz w:val="21"/>
          <w:szCs w:val="21"/>
        </w:rPr>
        <w:t xml:space="preserve"> The original paper’s causal identification relies on close-election RDD; the Vietnam implementation uses SOE proxies and fixed effects, so results are best interpreted as associations rather than causal RDD effects. </w:t>
      </w:r>
    </w:p>
    <w:p w14:paraId="239E2E9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leftChars="0" w:right="0" w:firstLine="0" w:firstLineChars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Outcome proxy.</w:t>
      </w:r>
      <w:r>
        <w:rPr>
          <w:rFonts w:hint="default" w:ascii="Calibri" w:hAnsi="Calibri" w:cs="Calibri"/>
          <w:sz w:val="21"/>
          <w:szCs w:val="21"/>
        </w:rPr>
        <w:t xml:space="preserve"> The original outcomes are firm-level investigations, penalties, and fines; Vietnam replication uses province-year PM2.5 assigned to firms.</w:t>
      </w:r>
    </w:p>
    <w:p w14:paraId="1D66394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leftChars="0" w:firstLine="0" w:firstLineChars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Short horizon (2020–2022).</w:t>
      </w:r>
      <w:r>
        <w:rPr>
          <w:rFonts w:hint="default" w:ascii="Calibri" w:hAnsi="Calibri" w:cs="Calibri"/>
          <w:sz w:val="21"/>
          <w:szCs w:val="21"/>
        </w:rPr>
        <w:t xml:space="preserve"> The appendix DiD is constrained by only one pre/post break with limited time points.</w:t>
      </w:r>
    </w:p>
    <w:p w14:paraId="002A13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Style w:val="8"/>
          <w:rFonts w:hint="default" w:ascii="Calibri" w:hAnsi="Calibri" w:cs="Calibri"/>
          <w:sz w:val="21"/>
          <w:szCs w:val="21"/>
        </w:rPr>
        <w:t>Next steps if additional time/data become available:</w:t>
      </w:r>
    </w:p>
    <w:p w14:paraId="01EC7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</w:t>
      </w:r>
      <w:r>
        <w:rPr>
          <w:rFonts w:hint="default" w:ascii="Calibri" w:hAnsi="Calibri" w:cs="Calibri"/>
          <w:sz w:val="21"/>
          <w:szCs w:val="21"/>
        </w:rPr>
        <w:t>Collect firm-level enforcement/penalty proxies (e.g., inspection actions, administrative sanction databases if accessible)</w:t>
      </w:r>
    </w:p>
    <w:p w14:paraId="3890A9E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 </w:t>
      </w:r>
      <w:r>
        <w:rPr>
          <w:rFonts w:hint="default" w:ascii="Calibri" w:hAnsi="Calibri" w:cs="Calibri"/>
          <w:sz w:val="21"/>
          <w:szCs w:val="21"/>
        </w:rPr>
        <w:t>Improve political connection measurement (board/government links, procurement exposure, or other quasi-exogenous political changes)</w:t>
      </w:r>
    </w:p>
    <w:p w14:paraId="079FC9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default" w:ascii="Calibri" w:hAnsi="Calibri" w:cs="Calibri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 xml:space="preserve">-   </w:t>
      </w:r>
      <w:bookmarkStart w:id="0" w:name="_GoBack"/>
      <w:bookmarkEnd w:id="0"/>
      <w:r>
        <w:rPr>
          <w:rFonts w:hint="default" w:ascii="Calibri" w:hAnsi="Calibri" w:cs="Calibri"/>
          <w:sz w:val="21"/>
          <w:szCs w:val="21"/>
        </w:rPr>
        <w:t>Extend the time horizon for stronger event-study or staggered DiD designs.</w:t>
      </w:r>
    </w:p>
    <w:p w14:paraId="54540FAC">
      <w:pPr>
        <w:pStyle w:val="5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</w:p>
    <w:p w14:paraId="2A2017CE">
      <w:pPr>
        <w:jc w:val="both"/>
        <w:rPr>
          <w:rFonts w:hint="default" w:ascii="Calibri" w:hAnsi="Calibri" w:eastAsia="宋体" w:cs="Calibr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C6ACAE"/>
    <w:multiLevelType w:val="singleLevel"/>
    <w:tmpl w:val="EBC6AC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2FE"/>
    <w:rsid w:val="007B02F8"/>
    <w:rsid w:val="00F76805"/>
    <w:rsid w:val="010F1C05"/>
    <w:rsid w:val="014A2DD9"/>
    <w:rsid w:val="02581525"/>
    <w:rsid w:val="02777BFD"/>
    <w:rsid w:val="03BD5AE4"/>
    <w:rsid w:val="04221DEB"/>
    <w:rsid w:val="065E7E41"/>
    <w:rsid w:val="06BA455D"/>
    <w:rsid w:val="079E5C2C"/>
    <w:rsid w:val="07E6312F"/>
    <w:rsid w:val="07F36771"/>
    <w:rsid w:val="0B077F8D"/>
    <w:rsid w:val="0B754EF6"/>
    <w:rsid w:val="0DFF319D"/>
    <w:rsid w:val="0E0D7668"/>
    <w:rsid w:val="0E1529C0"/>
    <w:rsid w:val="10B63FE7"/>
    <w:rsid w:val="147F2942"/>
    <w:rsid w:val="14CC26C2"/>
    <w:rsid w:val="14EA0703"/>
    <w:rsid w:val="171541EB"/>
    <w:rsid w:val="1B1A22C4"/>
    <w:rsid w:val="1B740D26"/>
    <w:rsid w:val="1D0C5058"/>
    <w:rsid w:val="204903BE"/>
    <w:rsid w:val="222A0391"/>
    <w:rsid w:val="222E7A4F"/>
    <w:rsid w:val="296A3769"/>
    <w:rsid w:val="2C7A714B"/>
    <w:rsid w:val="2D662499"/>
    <w:rsid w:val="2E400F3C"/>
    <w:rsid w:val="2EE63891"/>
    <w:rsid w:val="2F3960B7"/>
    <w:rsid w:val="2FC75471"/>
    <w:rsid w:val="3038636F"/>
    <w:rsid w:val="30F73B34"/>
    <w:rsid w:val="31004DA0"/>
    <w:rsid w:val="318B1C70"/>
    <w:rsid w:val="31EA7C43"/>
    <w:rsid w:val="32496611"/>
    <w:rsid w:val="33122EA7"/>
    <w:rsid w:val="34C957E7"/>
    <w:rsid w:val="350C7DCA"/>
    <w:rsid w:val="38F848ED"/>
    <w:rsid w:val="3A184B1B"/>
    <w:rsid w:val="3C067321"/>
    <w:rsid w:val="3CF11D7F"/>
    <w:rsid w:val="3D980617"/>
    <w:rsid w:val="401D732F"/>
    <w:rsid w:val="41931657"/>
    <w:rsid w:val="4691012F"/>
    <w:rsid w:val="498F4DFA"/>
    <w:rsid w:val="49BA799D"/>
    <w:rsid w:val="4A3B0ADD"/>
    <w:rsid w:val="4B72052F"/>
    <w:rsid w:val="4C235CCD"/>
    <w:rsid w:val="4EF31987"/>
    <w:rsid w:val="4F9111A0"/>
    <w:rsid w:val="505A77E4"/>
    <w:rsid w:val="52B159F2"/>
    <w:rsid w:val="52D03D8D"/>
    <w:rsid w:val="541D1254"/>
    <w:rsid w:val="54DD161B"/>
    <w:rsid w:val="556F3D31"/>
    <w:rsid w:val="5AA71877"/>
    <w:rsid w:val="5AA91A93"/>
    <w:rsid w:val="5BC85F49"/>
    <w:rsid w:val="5C0C22DA"/>
    <w:rsid w:val="5FC37153"/>
    <w:rsid w:val="643C74D4"/>
    <w:rsid w:val="6A0B3BD1"/>
    <w:rsid w:val="6B1C1E0E"/>
    <w:rsid w:val="6CFF1ED5"/>
    <w:rsid w:val="6D7B4107"/>
    <w:rsid w:val="6F0D2199"/>
    <w:rsid w:val="73993FFB"/>
    <w:rsid w:val="74B44BE7"/>
    <w:rsid w:val="799139C7"/>
    <w:rsid w:val="7C72188D"/>
    <w:rsid w:val="7D60202E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1161</Words>
  <Characters>7300</Characters>
  <Lines>0</Lines>
  <Paragraphs>0</Paragraphs>
  <TotalTime>80</TotalTime>
  <ScaleCrop>false</ScaleCrop>
  <LinksUpToDate>false</LinksUpToDate>
  <CharactersWithSpaces>8397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2026-02-25T22:05:00Z</dcterms:created>
  <dc:creator>EDY</dc:creator>
  <cp:lastModifiedBy>阮氏清怀</cp:lastModifiedBy>
  <dcterms:modified xsi:type="dcterms:W3CDTF">2026-02-26T03:39:40Z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eyJoZGlkIjoiODg3NDI5NmExZGFmNGUwNjI2NjhmOTI2YWE1YTViMzIiLCJ1c2VySWQiOiIxNDY3NDUxOTg1In0=</vt:lpwstr>
  </property>
  <property fmtid="{D5CDD505-2E9C-101B-9397-08002B2CF9AE}" pid="4" name="ICV">
    <vt:lpwstr>7F061372F9934028AB289A1399B9C9BC_12</vt:lpwstr>
  </property>
</Properties>
</file>