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smoke heading</w:t>
      </w:r>
    </w:p>
    <w:p>
      <w:r>
        <w:t>This paragraph proves DOCX leaf extraction works.</w:t>
      </w:r>
    </w:p>
    <w:tbl>
      <w:tblPr/>
      <w:tblGrid>
        <w:gridCol/>
        <w:gridCol/>
      </w:tblGrid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1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