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QUẢN LÝ ƯỚC LƯỢNG PHẦN MỀM</w:t>
      </w:r>
    </w:p>
    <w:p>
      <w:pPr>
        <w:pStyle w:val="Normal"/>
        <w:jc w:val="center"/>
        <w:rPr>
          <w:b/>
          <w:szCs w:val="26"/>
          <w:lang w:val="en-US"/>
        </w:rPr>
      </w:pPr>
      <w:r>
        <w:t>Tên đề tài: Xây dựng Website quản lý cửa hàng bán mỹ phẩm cá nhân hóa</w:t>
      </w:r>
    </w:p>
    <w:p>
      <w:pPr>
        <w:pStyle w:val="Normal"/>
        <w:jc w:val="center"/>
        <w:rPr>
          <w:b/>
          <w:szCs w:val="26"/>
          <w:lang w:val="en-US"/>
        </w:rPr>
      </w:pPr>
      <w:r>
        <w:t>Các thành viên: ........................................................................</w:t>
      </w:r>
    </w:p>
    <w:p>
      <w:pPr>
        <w:pStyle w:val="Normal"/>
        <w:rPr>
          <w:b/>
          <w:szCs w:val="26"/>
          <w:lang w:val="en-US"/>
        </w:rPr>
      </w:pPr>
      <w:r>
        <w:rPr>
          <w:b/>
          <w:szCs w:val="26"/>
          <w:lang w:val="en-US"/>
        </w:rPr>
      </w:r>
    </w:p>
    <w:p>
      <w:pPr>
        <w:pStyle w:val="Normal"/>
        <w:numPr>
          <w:ilvl w:val="0"/>
          <w:numId w:val="3"/>
        </w:numPr>
        <w:rPr>
          <w:b/>
          <w:szCs w:val="26"/>
        </w:rPr>
      </w:pPr>
      <w:r>
        <w:rPr>
          <w:b/>
          <w:szCs w:val="26"/>
        </w:rPr>
        <w:t>Ước lượng điểm chức năng</w:t>
      </w:r>
    </w:p>
    <w:p>
      <w:pPr>
        <w:pStyle w:val="ListParagraph"/>
        <w:spacing w:before="0" w:after="0"/>
        <w:ind w:left="360" w:right="0"/>
        <w:contextualSpacing/>
        <w:rPr>
          <w:szCs w:val="26"/>
          <w:lang w:val="en-US"/>
        </w:rPr>
      </w:pPr>
      <w:r>
        <w:rPr>
          <w:szCs w:val="26"/>
          <w:lang w:val="en-US"/>
        </w:rPr>
        <w:t>Điểm chức năng chi tiết của các module</w:t>
      </w:r>
    </w:p>
    <w:p>
      <w:pPr>
        <w:pStyle w:val="Normal"/>
        <w:spacing w:before="0" w:after="0"/>
        <w:ind w:left="360" w:right="0"/>
        <w:rPr>
          <w:b/>
          <w:szCs w:val="26"/>
          <w:lang w:val="en-US"/>
        </w:rPr>
      </w:pPr>
      <w:r>
        <w:t>- Module trang chủ và giới thiệu sản phẩm: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57" w:left="1077" w:right="0"/>
        <w:contextualSpacing/>
        <w:rPr>
          <w:b/>
          <w:szCs w:val="26"/>
          <w:lang w:val="en-US"/>
        </w:rPr>
      </w:pPr>
      <w:r>
        <w:t>Output: Danh sách sản phẩm mới/nổi bật, banner, chương trình khuyến mãi và sản phẩm theo danh mục.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57" w:left="1077" w:right="0"/>
        <w:contextualSpacing/>
        <w:rPr>
          <w:b/>
          <w:szCs w:val="26"/>
          <w:lang w:val="en-US"/>
        </w:rPr>
      </w:pPr>
      <w:r>
        <w:t>Input: Từ khóa tìm kiếm và tiêu chí lọc theo loại da, thương hiệu, mức giá, nhu cầu và thành phần.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57" w:left="1077" w:right="0"/>
        <w:contextualSpacing/>
        <w:rPr>
          <w:b/>
          <w:szCs w:val="26"/>
          <w:lang w:val="en-US"/>
        </w:rPr>
      </w:pPr>
      <w:r>
        <w:t>Files: Sản phẩm, danh mục, thương hiệu, thành phần mỹ phẩm, chương trình khuyến mãi.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57" w:left="1077" w:right="0"/>
        <w:contextualSpacing/>
        <w:rPr>
          <w:b/>
          <w:szCs w:val="26"/>
          <w:lang w:val="en-US"/>
        </w:rPr>
      </w:pPr>
      <w:r>
        <w:t>Interfaces: Trang chủ, trang danh mục, trang chi tiết mỹ phẩm và phụ kiện.</w:t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ind w:hanging="357" w:left="1077" w:right="0"/>
        <w:contextualSpacing/>
        <w:rPr>
          <w:b/>
          <w:szCs w:val="26"/>
          <w:lang w:val="en-US"/>
        </w:rPr>
      </w:pPr>
      <w:r>
        <w:t>Queries: Truy vấn sản phẩm mới/nổi bật, theo danh mục và theo tiêu chí lọc.</w:t>
      </w:r>
    </w:p>
    <w:p>
      <w:pPr>
        <w:pStyle w:val="Normal"/>
        <w:spacing w:before="0" w:after="0"/>
        <w:ind w:left="360" w:right="0"/>
        <w:rPr/>
      </w:pPr>
      <w:r>
        <w:t>- Module tài khoản người dùng và hồ sơ cá nhân hóa: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57" w:left="1077" w:right="0"/>
        <w:contextualSpacing/>
        <w:rPr>
          <w:b/>
          <w:szCs w:val="26"/>
          <w:lang w:val="en-US"/>
        </w:rPr>
      </w:pPr>
      <w:r>
        <w:t>Output: Kết quả đăng ký/đăng nhập, hồ sơ cá nhân, lịch sử mua hàng và cảnh báo dị ứng.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57" w:left="1077" w:right="0"/>
        <w:contextualSpacing/>
        <w:rPr>
          <w:b/>
          <w:szCs w:val="26"/>
          <w:lang w:val="en-US"/>
        </w:rPr>
      </w:pPr>
      <w:r>
        <w:t>Input: Họ tên, tuổi, email/số điện thoại, mật khẩu, nền da, tông màu son, Skin Routine và thành phần dị ứng.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57" w:left="1077" w:right="0"/>
        <w:contextualSpacing/>
        <w:rPr>
          <w:b/>
          <w:szCs w:val="26"/>
          <w:lang w:val="en-US"/>
        </w:rPr>
      </w:pPr>
      <w:r>
        <w:t>Files: Tài khoản, hồ sơ khách hàng, địa chỉ giao hàng, hồ sơ nền da, Skin Routine và lịch sử dị ứng.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57" w:left="1077" w:right="0"/>
        <w:contextualSpacing/>
        <w:rPr>
          <w:b/>
          <w:szCs w:val="26"/>
          <w:lang w:val="en-US"/>
        </w:rPr>
      </w:pPr>
      <w:r>
        <w:t>Interfaces: Đăng ký, đăng nhập, trang hồ sơ cá nhân hóa và lịch sử giao dịch.</w:t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ind w:hanging="357" w:left="1077" w:right="0"/>
        <w:contextualSpacing/>
        <w:rPr>
          <w:b/>
          <w:szCs w:val="26"/>
          <w:lang w:val="en-US"/>
        </w:rPr>
      </w:pPr>
      <w:r>
        <w:t>Queries: Xác thực tài khoản, tra cứu hồ sơ, lịch sử mua hàng và thành phần dị ứng.</w:t>
      </w:r>
    </w:p>
    <w:p>
      <w:pPr>
        <w:pStyle w:val="Normal"/>
        <w:spacing w:lineRule="auto" w:line="240" w:before="0" w:after="120"/>
        <w:rPr>
          <w:b/>
          <w:szCs w:val="26"/>
          <w:lang w:val="en-US"/>
        </w:rPr>
      </w:pPr>
      <w:r>
        <w:t>- Module gợi ý sản phẩm cá nhân hóa: Input: nền da, nhu cầu, tông son, Skin Routine, thành phần dị ứng và ngân sách; Output: 4–8 sản phẩm liên quan cùng danh mục (loại trừ sản phẩm đang xem), phụ kiện và combo phù hợp; Files: hồ sơ khách hàng, sản phẩm, danh mục, thành phần, quy tắc gợi ý; Interfaces: khu vực “Có thể bạn cũng thích”, sản phẩm đi kèm và combo skincare; Queries: lọc và chọn sản phẩm phù hợp, loại trừ sản phẩm hiện tại.</w:t>
      </w:r>
    </w:p>
    <w:tbl>
      <w:tblPr>
        <w:tblW w:w="783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276"/>
        <w:gridCol w:w="1701"/>
        <w:gridCol w:w="1559"/>
        <w:gridCol w:w="1483"/>
      </w:tblGrid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60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Mức Độ Phức Tạp</w:t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Mô Tả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Thấp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Trung Bình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Cao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Tổng cộng</w:t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Input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8 × 3 = 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10 × 4 = 40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3 × 6 = 18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82</w:t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Output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6 × 4 = 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8 × 5 = 40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2 × 7 = 14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78</w:t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Queries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8 × 3 = 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8 × 4 = 32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2 × 6 = 12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68</w:t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Files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2 × 7 = 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5 × 10 = 50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2 × 15 = 30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94</w:t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Interfaces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4 × 3 = 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3 × 4 = 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 × 6 = 6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30</w:t>
            </w:r>
          </w:p>
        </w:tc>
      </w:tr>
      <w:tr>
        <w:trPr>
          <w:trHeight w:val="53" w:hRule="atLeast"/>
        </w:trPr>
        <w:tc>
          <w:tcPr>
            <w:tcW w:w="6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80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352</w:t>
            </w:r>
          </w:p>
        </w:tc>
      </w:tr>
    </w:tbl>
    <w:p>
      <w:r>
        <w:t>- Module quản lý sản phẩm, danh mục và thành phần: Input: mã, tên, giá, mô tả, ảnh, thương hiệu, danh mục, thành phần và số lượng tồn; Output: danh sách/thông tin sản phẩm và cảnh báo thành phần dị ứng; Files: sản phẩm, danh mục, thương hiệu, thành phần; Interfaces: trang quản trị sản phẩm và danh mục; Queries: tìm kiếm, lọc, kiểm tra mã và tra cứu thành phần.</w:t>
      </w:r>
    </w:p>
    <w:p>
      <w:r>
        <w:t>- Module giỏ hàng và đặt mua hàng: Input: sản phẩm, số lượng, địa chỉ nhận hàng, mã giảm giá, tùy chọn gói quà/thiệp/in tên bao bì; Output: giỏ hàng, tổng tiền, xác nhận đơn; Files: giỏ hàng, đơn hàng, chi tiết đơn, khuyến mãi; Interfaces: giỏ hàng và trang đặt hàng; Queries: tính tổng tiền, kiểm tra tồn kho và áp dụng khuyến mãi.</w:t>
      </w:r>
    </w:p>
    <w:p>
      <w:r>
        <w:t>- Module thanh toán và vận chuyển: Input: phương thức thanh toán, thông tin giao nhận; Output: trạng thái thanh toán, xác nhận đơn và thông tin giao hàng; Files: giao dịch, đơn hàng, vận chuyển; Interfaces: trang thanh toán và theo dõi đơn; Queries: tra cứu trạng thái giao dịch, đơn hàng và vận đơn.</w:t>
      </w:r>
    </w:p>
    <w:p>
      <w:r>
        <w:t>- Module CRM và quản lý đơn hàng: Input: thông tin khách hàng, lịch sử mua hàng, dung tích/số lượng sản phẩm, trạng thái đơn; Output: hồ sơ CRM, lịch sử giao dịch, cảnh báo dị ứng và thông báo nhắc hẹn tái sử dụng/chăm sóc da; Files: khách hàng, hồ sơ cá nhân hóa, đơn hàng, lịch nhắc hẹn; Interfaces: trang CRM và quản lý đơn hàng; Queries: tra cứu khách hàng, lịch sử mua hàng, đơn theo ngày/trạng thái và lịch nhắc hẹn.</w:t>
      </w:r>
    </w:p>
    <w:p>
      <w:r>
        <w:t>- Module QR Code, quản lý kho và dự báo tồn kho: Input: mã QR, số lượng nhập/xuất, dữ liệu bán hàng; Output: thông tin xuất xứ/xác thực chính hãng, cập nhật tồn kho và đề xuất lượng hàng cần nhập; Files: mã QR, lô hàng, tồn kho, đơn hàng và lịch sử bán hàng; Interfaces: quét QR cho khách hàng, màn hình nhập kho và dashboard tồn kho; Queries: xác minh mã QR, tra cứu tồn kho và phân tích xu hướng bán hàng.</w:t>
      </w:r>
    </w:p>
    <w:p>
      <w:r>
        <w:t>- Module phản hồi, sự kiện/khuyến mãi và quản trị: Input: đánh giá, bình luận, điểm sao, mã giảm giá, chính sách chiết khấu, ưu đãi sinh nhật, tài khoản nhân viên và quyền hạn; Output: đánh giá sản phẩm, chương trình khuyến mãi, danh sách người dùng và báo cáo hoạt động; Files: đánh giá, khuyến mãi, tài khoản, vai trò, nhật ký; Interfaces: trang đánh giá, quản lý khuyến mãi và trang quản trị; Queries: lọc đánh giá, áp dụng ưu đãi, tra cứu người dùng và kiểm tra quyền truy cập.</w:t>
      </w:r>
    </w:p>
    <w:p>
      <w:pPr>
        <w:pStyle w:val="Caption"/>
        <w:jc w:val="center"/>
        <w:rPr>
          <w:b w:val="false"/>
          <w:color w:val="000000"/>
          <w:sz w:val="26"/>
          <w:szCs w:val="26"/>
          <w:lang w:val="en-US"/>
        </w:rPr>
      </w:pPr>
      <w:r>
        <w:rPr>
          <w:b w:val="false"/>
          <w:color w:val="000000"/>
          <w:sz w:val="26"/>
          <w:szCs w:val="26"/>
          <w:lang w:val="en-US"/>
        </w:rPr>
        <w:t>Bảng tổng hợp chức năng chưa điều chỉnh</w:t>
      </w:r>
    </w:p>
    <w:p>
      <w:pPr>
        <w:pStyle w:val="Normal"/>
        <w:spacing w:before="120" w:after="0"/>
        <w:ind w:left="360" w:right="0"/>
        <w:rPr>
          <w:szCs w:val="26"/>
          <w:lang w:val="en-US"/>
        </w:rPr>
      </w:pPr>
      <w:r>
        <w:t>Vậy điểm chức năng chưa điều chỉnh (TUFP) = 352 điểm. Số lượng EI/EO/EQ/ILF/EIF là ước lượng sơ bộ dựa trên các module được nêu trong Báo cáo quản lý phạm vi.</w:t>
      </w:r>
    </w:p>
    <w:tbl>
      <w:tblPr>
        <w:tblW w:w="833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0"/>
        <w:gridCol w:w="1590"/>
      </w:tblGrid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szCs w:val="26"/>
                <w:lang w:val="en-US"/>
              </w:rPr>
            </w:pPr>
            <w:r>
              <w:rPr>
                <w:b/>
                <w:szCs w:val="26"/>
              </w:rPr>
              <w:t xml:space="preserve">14 </w:t>
            </w:r>
            <w:r>
              <w:rPr>
                <w:b/>
                <w:szCs w:val="26"/>
                <w:lang w:val="en-US"/>
              </w:rPr>
              <w:t>Yếu tố phức tạp kỹ thuật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szCs w:val="26"/>
              </w:rPr>
            </w:pPr>
            <w:r>
              <w:rPr>
                <w:szCs w:val="26"/>
              </w:rPr>
              <w:t>0-5</w:t>
            </w:r>
          </w:p>
        </w:tc>
      </w:tr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Truyền thông dữ liệu (Data Communications)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3</w:t>
            </w:r>
          </w:p>
        </w:tc>
      </w:tr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Xử lý dữ liệu phân tán (Distributed Functions)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</w:t>
            </w:r>
          </w:p>
        </w:tc>
      </w:tr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Hiệu năng (Performance)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3</w:t>
            </w:r>
          </w:p>
        </w:tc>
      </w:tr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Cấu hình sử dụng cao (Heavily Used Configuration)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2</w:t>
            </w:r>
          </w:p>
        </w:tc>
      </w:tr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0"/>
              <w:rPr/>
            </w:pPr>
            <w:r>
              <w:rPr>
                <w:sz w:val="24"/>
                <w:szCs w:val="24"/>
              </w:rPr>
              <w:t>Tỷ lệ giao dịch (Transaction Rate)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2</w:t>
            </w:r>
          </w:p>
        </w:tc>
      </w:tr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Dữ liệu vào trực tuyến (Online Data Entry)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4</w:t>
            </w:r>
          </w:p>
        </w:tc>
      </w:tr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Hiệu quả người dùng cuối (End-User Efficiency)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4</w:t>
            </w:r>
          </w:p>
        </w:tc>
      </w:tr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Cập nhật dữ liệu trực tuyến (On-line Update)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4</w:t>
            </w:r>
          </w:p>
        </w:tc>
      </w:tr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Xử lý phức tạp (Complex Processing)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3</w:t>
            </w:r>
          </w:p>
        </w:tc>
      </w:tr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Khả năng dùng lại (Reusability)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3</w:t>
            </w:r>
          </w:p>
        </w:tc>
      </w:tr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Dễ cài đặt (Installation Ease)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3</w:t>
            </w:r>
          </w:p>
        </w:tc>
      </w:tr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Dễ vận hành (Operational Ease)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3</w:t>
            </w:r>
          </w:p>
        </w:tc>
      </w:tr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Đa địa điểm (Multiple Sites)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</w:t>
            </w:r>
          </w:p>
        </w:tc>
      </w:tr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0"/>
              <w:rPr/>
            </w:pPr>
            <w:r>
              <w:rPr>
                <w:sz w:val="24"/>
                <w:szCs w:val="24"/>
              </w:rPr>
              <w:t>Thay đ</w:t>
            </w:r>
            <w:r>
              <w:rPr>
                <w:sz w:val="24"/>
                <w:szCs w:val="24"/>
                <w:lang w:val="en-US"/>
              </w:rPr>
              <w:t>ổ</w:t>
            </w:r>
            <w:r>
              <w:rPr>
                <w:sz w:val="24"/>
                <w:szCs w:val="24"/>
              </w:rPr>
              <w:t>i dễ dàng (Facilities Change)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2</w:t>
            </w:r>
          </w:p>
        </w:tc>
      </w:tr>
      <w:tr>
        <w:trPr/>
        <w:tc>
          <w:tcPr>
            <w:tcW w:w="6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Tổng PC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38</w:t>
            </w:r>
          </w:p>
        </w:tc>
      </w:tr>
    </w:tbl>
    <w:p>
      <w:pPr>
        <w:pStyle w:val="Normal"/>
        <w:spacing w:lineRule="auto" w:line="240" w:before="120" w:after="0"/>
        <w:ind w:left="357" w:right="0"/>
        <w:rPr>
          <w:szCs w:val="26"/>
          <w:lang w:val="en-US"/>
        </w:rPr>
      </w:pPr>
      <w:r>
        <w:t>- Yếu tố phức tạp kỹ thuật của phần mềm (TCF): TCF = 0,65 + 0,01 × 38 = 1.03.</w:t>
      </w:r>
    </w:p>
    <w:p>
      <w:pPr>
        <w:pStyle w:val="Normal"/>
        <w:spacing w:lineRule="auto" w:line="240" w:before="120" w:after="0"/>
        <w:ind w:left="357" w:right="0"/>
        <w:jc w:val="center"/>
        <w:rPr>
          <w:szCs w:val="26"/>
          <w:lang w:val="en-US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TCF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65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01</m:t>
          </m:r>
          <m:r>
            <w:rPr>
              <w:rFonts w:ascii="Cambria Math" w:hAnsi="Cambria Math"/>
            </w:rPr>
            <m:t xml:space="preserve">∗</m:t>
          </m:r>
          <m:nary>
            <m:naryPr>
              <m:chr m:val="∑"/>
              <m:subHide m:val="1"/>
              <m:supHide m:val="1"/>
            </m:naryPr>
            <m:sub/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</m:oMath>
      </m:oMathPara>
    </w:p>
    <w:p>
      <w:pPr>
        <w:pStyle w:val="Normal"/>
        <w:tabs>
          <w:tab w:val="clear" w:pos="720"/>
          <w:tab w:val="left" w:pos="7168" w:leader="none"/>
        </w:tabs>
        <w:spacing w:lineRule="auto" w:line="240" w:before="120" w:after="0"/>
        <w:ind w:left="357" w:right="0"/>
        <w:rPr>
          <w:szCs w:val="26"/>
          <w:lang w:val="en-US"/>
        </w:rPr>
      </w:pPr>
      <w:r>
        <w:t>- Điểm chức năng điều chỉnh (AFP): AFP = TUFP × TCF = 352 × 1,03 = 362,56 ≈ 363 FP.</w:t>
      </w:r>
    </w:p>
    <w:p>
      <w:pPr>
        <w:pStyle w:val="Normal"/>
        <w:tabs>
          <w:tab w:val="clear" w:pos="720"/>
          <w:tab w:val="left" w:pos="7168" w:leader="none"/>
        </w:tabs>
        <w:spacing w:lineRule="auto" w:line="240" w:before="120" w:after="0"/>
        <w:ind w:left="357" w:right="0"/>
        <w:jc w:val="center"/>
        <w:rPr>
          <w:szCs w:val="26"/>
          <w:lang w:val="en-US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AFP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UFPxTCF</m:t>
          </m:r>
        </m:oMath>
      </m:oMathPara>
    </w:p>
    <w:p>
      <w:pPr>
        <w:pStyle w:val="Normal"/>
        <w:tabs>
          <w:tab w:val="clear" w:pos="720"/>
          <w:tab w:val="left" w:pos="7168" w:leader="none"/>
        </w:tabs>
        <w:spacing w:lineRule="auto" w:line="240" w:before="120" w:after="0"/>
        <w:ind w:left="357" w:right="0"/>
        <w:rPr>
          <w:szCs w:val="26"/>
          <w:lang w:val="en-US"/>
        </w:rPr>
      </w:pPr>
      <w:r>
        <w:t>Ngôn ngữ ước lượng: HTML (15 dòng/FP theo mẫu). Số dòng code ước tính = 362,56 × 15 = 5.438,4 ≈ 5.438 dòng. Con số này chỉ là quy đổi theo giả định của mẫu, không phải số dòng mã thực tế.</w:t>
      </w:r>
    </w:p>
    <w:p>
      <w:pPr>
        <w:pStyle w:val="Normal"/>
        <w:tabs>
          <w:tab w:val="clear" w:pos="720"/>
          <w:tab w:val="left" w:pos="7168" w:leader="none"/>
        </w:tabs>
        <w:spacing w:lineRule="auto" w:line="240" w:before="0" w:after="0"/>
        <w:rPr>
          <w:szCs w:val="26"/>
          <w:lang w:val="en-US"/>
        </w:rPr>
      </w:pPr>
      <w:r>
        <w:t>- Ước lượng nỗ lực (mô hình COCOMO, loại Organic): KLOC = 5,438. E = 2,4 × KLOC^1,05 ≈ 14,2 người-tháng. Đây là ước lượng sơ bộ cho phạm vi gồm hồ sơ cá nhân hóa, gợi ý 4–8 sản phẩm, CRM nhắc hẹn, QR xác thực/nhập kho, dự báo tồn kho, đặt hàng, đánh giá, khuyến mãi và quản trị.</w:t>
      </w:r>
    </w:p>
    <w:p>
      <w:pPr>
        <w:pStyle w:val="Normal"/>
        <w:autoSpaceDE w:val="false"/>
        <w:spacing w:lineRule="auto" w:line="288"/>
        <w:ind w:left="1701" w:right="0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(</m:t>
          </m:r>
          <m:r>
            <m:rPr>
              <m:lit/>
              <m:nor/>
            </m:rPr>
            <w:rPr>
              <w:rFonts w:ascii="Cambria Math" w:hAnsi="Cambria Math"/>
            </w:rPr>
            <m:t xml:space="preserve">KLOC</m:t>
          </m:r>
          <m:sSup>
            <m:e>
              <m:r>
                <w:rPr>
                  <w:rFonts w:ascii="Cambria Math" w:hAnsi="Cambria Math"/>
                </w:rPr>
                <m:t xml:space="preserve">)</m:t>
              </m:r>
            </m:e>
            <m:sup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b</m:t>
                  </m:r>
                </m:sub>
              </m:sSub>
            </m:sup>
          </m:sSup>
        </m:oMath>
      </m:oMathPara>
    </w:p>
    <w:p>
      <w:pPr>
        <w:pStyle w:val="Normal"/>
        <w:autoSpaceDE w:val="false"/>
        <w:spacing w:lineRule="auto" w:line="288"/>
        <w:ind w:left="1701" w:right="0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w:rPr>
              <w:rFonts w:ascii="Cambria Math" w:hAnsi="Cambria Math"/>
            </w:rPr>
            <m:t xml:space="preserve">∗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</m:oMath>
      </m:oMathPara>
    </w:p>
    <w:p>
      <w:pPr>
        <w:pStyle w:val="Normal"/>
        <w:autoSpaceDE w:val="false"/>
        <w:spacing w:lineRule="auto" w:line="288"/>
        <w:ind w:left="1701" w:right="0"/>
        <w:rPr>
          <w:sz w:val="24"/>
          <w:szCs w:val="24"/>
          <w:lang w:val="en-US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E</m:t>
              </m:r>
            </m:num>
            <m:den>
              <m:r>
                <w:rPr>
                  <w:rFonts w:ascii="Cambria Math" w:hAnsi="Cambria Math"/>
                </w:rPr>
                <m:t xml:space="preserve">T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autoSpaceDE w:val="false"/>
        <w:spacing w:lineRule="auto" w:line="288" w:before="60" w:after="0"/>
        <w:ind w:hanging="357" w:left="714" w:right="0"/>
        <w:jc w:val="left"/>
        <w:rPr>
          <w:sz w:val="24"/>
          <w:szCs w:val="24"/>
        </w:rPr>
      </w:pPr>
      <w:r>
        <w:rPr>
          <w:sz w:val="24"/>
          <w:szCs w:val="24"/>
        </w:rPr>
        <w:t>Các hệ số a</w:t>
      </w:r>
      <w:r>
        <w:rPr>
          <w:sz w:val="24"/>
          <w:szCs w:val="24"/>
          <w:vertAlign w:val="subscript"/>
        </w:rPr>
        <w:t>b</w:t>
      </w:r>
      <w:r>
        <w:rPr>
          <w:sz w:val="24"/>
          <w:szCs w:val="24"/>
        </w:rPr>
        <w:t>, b</w:t>
      </w:r>
      <w:r>
        <w:rPr>
          <w:sz w:val="24"/>
          <w:szCs w:val="24"/>
          <w:vertAlign w:val="subscript"/>
        </w:rPr>
        <w:t>b</w:t>
      </w:r>
      <w:r>
        <w:rPr>
          <w:sz w:val="24"/>
          <w:szCs w:val="24"/>
        </w:rPr>
        <w:t>, c</w:t>
      </w:r>
      <w:r>
        <w:rPr>
          <w:sz w:val="24"/>
          <w:szCs w:val="24"/>
          <w:vertAlign w:val="subscript"/>
        </w:rPr>
        <w:t>b</w:t>
      </w:r>
      <w:r>
        <w:rPr>
          <w:sz w:val="24"/>
          <w:szCs w:val="24"/>
        </w:rPr>
        <w:t>, d</w:t>
      </w:r>
      <w:r>
        <w:rPr>
          <w:sz w:val="24"/>
          <w:szCs w:val="24"/>
          <w:vertAlign w:val="subscript"/>
        </w:rPr>
        <w:t>b</w:t>
      </w:r>
      <w:r>
        <w:rPr>
          <w:sz w:val="24"/>
          <w:szCs w:val="24"/>
        </w:rPr>
        <w:t xml:space="preserve">: được cho ở bảng </w:t>
      </w:r>
      <w:r>
        <w:rPr>
          <w:sz w:val="24"/>
          <w:szCs w:val="24"/>
          <w:lang w:val="en-US"/>
        </w:rPr>
        <w:t>sau</w:t>
      </w:r>
      <w:r>
        <w:rPr>
          <w:sz w:val="24"/>
          <w:szCs w:val="24"/>
        </w:rPr>
        <w:t>.</w:t>
      </w:r>
    </w:p>
    <w:tbl>
      <w:tblPr>
        <w:tblW w:w="8079" w:type="dxa"/>
        <w:jc w:val="left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1418"/>
        <w:gridCol w:w="1417"/>
        <w:gridCol w:w="1418"/>
        <w:gridCol w:w="1417"/>
      </w:tblGrid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Loại dự án phần mềm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b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Organic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 w:before="120" w:after="120"/>
              <w:jc w:val="center"/>
              <w:rPr/>
            </w:pPr>
            <w:r>
              <w:rPr>
                <w:sz w:val="24"/>
                <w:szCs w:val="24"/>
                <w:lang w:eastAsia="en-GB"/>
              </w:rPr>
              <w:t>2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>
              <w:rPr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 w:before="120" w:after="120"/>
              <w:jc w:val="center"/>
              <w:rPr/>
            </w:pPr>
            <w:r>
              <w:rPr>
                <w:sz w:val="24"/>
                <w:szCs w:val="24"/>
                <w:lang w:eastAsia="en-GB"/>
              </w:rPr>
              <w:t>1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>
              <w:rPr>
                <w:sz w:val="24"/>
                <w:szCs w:val="24"/>
                <w:lang w:eastAsia="en-GB"/>
              </w:rPr>
              <w:t>05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 w:before="120" w:after="120"/>
              <w:jc w:val="center"/>
              <w:rPr/>
            </w:pPr>
            <w:r>
              <w:rPr>
                <w:sz w:val="24"/>
                <w:szCs w:val="24"/>
                <w:lang w:eastAsia="en-GB"/>
              </w:rPr>
              <w:t>2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>
              <w:rPr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 w:before="120" w:after="120"/>
              <w:jc w:val="center"/>
              <w:rPr/>
            </w:pPr>
            <w:r>
              <w:rPr>
                <w:sz w:val="24"/>
                <w:szCs w:val="24"/>
                <w:lang w:eastAsia="en-GB"/>
              </w:rPr>
              <w:t>0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>
              <w:rPr>
                <w:sz w:val="24"/>
                <w:szCs w:val="24"/>
                <w:lang w:eastAsia="en-GB"/>
              </w:rPr>
              <w:t>38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Semi-detached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 w:before="120" w:after="120"/>
              <w:jc w:val="center"/>
              <w:rPr/>
            </w:pPr>
            <w:r>
              <w:rPr>
                <w:sz w:val="24"/>
                <w:szCs w:val="24"/>
                <w:lang w:eastAsia="en-GB"/>
              </w:rPr>
              <w:t>3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>
              <w:rPr>
                <w:sz w:val="24"/>
                <w:szCs w:val="24"/>
                <w:lang w:eastAsia="en-GB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 w:before="120" w:after="120"/>
              <w:jc w:val="center"/>
              <w:rPr/>
            </w:pPr>
            <w:r>
              <w:rPr>
                <w:sz w:val="24"/>
                <w:szCs w:val="24"/>
                <w:lang w:eastAsia="en-GB"/>
              </w:rPr>
              <w:t>1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>
              <w:rPr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 w:before="120" w:after="120"/>
              <w:jc w:val="center"/>
              <w:rPr/>
            </w:pPr>
            <w:r>
              <w:rPr>
                <w:sz w:val="24"/>
                <w:szCs w:val="24"/>
                <w:lang w:eastAsia="en-GB"/>
              </w:rPr>
              <w:t>2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>
              <w:rPr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 w:before="120" w:after="120"/>
              <w:jc w:val="center"/>
              <w:rPr/>
            </w:pPr>
            <w:r>
              <w:rPr>
                <w:sz w:val="24"/>
                <w:szCs w:val="24"/>
                <w:lang w:eastAsia="en-GB"/>
              </w:rPr>
              <w:t>0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>
              <w:rPr>
                <w:sz w:val="24"/>
                <w:szCs w:val="24"/>
                <w:lang w:eastAsia="en-GB"/>
              </w:rPr>
              <w:t>35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pacing w:lineRule="auto" w:line="288"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Embedded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 w:before="120" w:after="120"/>
              <w:jc w:val="center"/>
              <w:rPr/>
            </w:pPr>
            <w:r>
              <w:rPr>
                <w:sz w:val="24"/>
                <w:szCs w:val="24"/>
                <w:lang w:eastAsia="en-GB"/>
              </w:rPr>
              <w:t>3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>
              <w:rPr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 w:before="120" w:after="120"/>
              <w:jc w:val="center"/>
              <w:rPr/>
            </w:pPr>
            <w:r>
              <w:rPr>
                <w:sz w:val="24"/>
                <w:szCs w:val="24"/>
                <w:lang w:eastAsia="en-GB"/>
              </w:rPr>
              <w:t>1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>
              <w:rPr>
                <w:sz w:val="24"/>
                <w:szCs w:val="24"/>
                <w:lang w:eastAsia="en-GB"/>
              </w:rPr>
              <w:t>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 w:before="120" w:after="120"/>
              <w:jc w:val="center"/>
              <w:rPr/>
            </w:pPr>
            <w:r>
              <w:rPr>
                <w:sz w:val="24"/>
                <w:szCs w:val="24"/>
                <w:lang w:eastAsia="en-GB"/>
              </w:rPr>
              <w:t>2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>
              <w:rPr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spacing w:lineRule="auto" w:line="288" w:before="120" w:after="120"/>
              <w:jc w:val="center"/>
              <w:rPr/>
            </w:pPr>
            <w:r>
              <w:rPr>
                <w:sz w:val="24"/>
                <w:szCs w:val="24"/>
                <w:lang w:eastAsia="en-GB"/>
              </w:rPr>
              <w:t>0</w:t>
            </w:r>
            <w:r>
              <w:rPr>
                <w:sz w:val="24"/>
                <w:szCs w:val="24"/>
                <w:lang w:val="en-US" w:eastAsia="en-GB"/>
              </w:rPr>
              <w:t>,</w:t>
            </w:r>
            <w:r>
              <w:rPr>
                <w:sz w:val="24"/>
                <w:szCs w:val="24"/>
                <w:lang w:eastAsia="en-GB"/>
              </w:rPr>
              <w:t>32</w:t>
            </w:r>
          </w:p>
        </w:tc>
      </w:tr>
    </w:tbl>
    <w:p>
      <w:pPr>
        <w:pStyle w:val="Normal"/>
        <w:tabs>
          <w:tab w:val="clear" w:pos="720"/>
          <w:tab w:val="left" w:pos="7168" w:leader="none"/>
        </w:tabs>
        <w:spacing w:lineRule="auto" w:line="240" w:before="0" w:after="0"/>
        <w:rPr>
          <w:szCs w:val="26"/>
          <w:lang w:val="en-US"/>
        </w:rPr>
      </w:pPr>
      <w:r>
        <w:rPr>
          <w:szCs w:val="26"/>
          <w:lang w:val="en-US"/>
        </w:rPr>
      </w:r>
    </w:p>
    <w:p>
      <w:pPr>
        <w:pStyle w:val="Normal"/>
        <w:tabs>
          <w:tab w:val="clear" w:pos="720"/>
          <w:tab w:val="left" w:pos="7168" w:leader="none"/>
        </w:tabs>
        <w:spacing w:lineRule="auto" w:line="240" w:before="0" w:after="0"/>
        <w:rPr/>
      </w:pPr>
      <w:r>
        <w:rPr>
          <w:b/>
          <w:i/>
          <w:szCs w:val="26"/>
          <w:lang w:val="en-US"/>
        </w:rPr>
        <w:t>Chú ý</w:t>
      </w:r>
      <w:r>
        <w:rPr>
          <w:szCs w:val="26"/>
          <w:lang w:val="en-US"/>
        </w:rPr>
        <w:t>: ước lượng nổ lực hợp lý của đề tài trong khoảng 12-15 người-tháng</w:t>
      </w:r>
    </w:p>
    <w:p>
      <w:pPr>
        <w:pStyle w:val="Normal"/>
        <w:tabs>
          <w:tab w:val="clear" w:pos="720"/>
          <w:tab w:val="left" w:pos="7168" w:leader="none"/>
        </w:tabs>
        <w:spacing w:lineRule="auto" w:line="240" w:before="0" w:after="0"/>
        <w:rPr>
          <w:szCs w:val="26"/>
          <w:lang w:val="en-US"/>
        </w:rPr>
      </w:pPr>
      <w:r>
        <w:rPr>
          <w:szCs w:val="26"/>
          <w:lang w:val="en-US"/>
        </w:rPr>
      </w:r>
    </w:p>
    <w:p>
      <w:pPr>
        <w:pStyle w:val="Normal"/>
        <w:tabs>
          <w:tab w:val="clear" w:pos="720"/>
          <w:tab w:val="left" w:pos="7168" w:leader="none"/>
        </w:tabs>
        <w:spacing w:lineRule="auto" w:line="240" w:before="0" w:after="0"/>
        <w:rPr>
          <w:szCs w:val="26"/>
          <w:lang w:val="en-US"/>
        </w:rPr>
      </w:pPr>
      <w:r>
        <w:rPr>
          <w:szCs w:val="26"/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120" w:after="120"/>
      <w:jc w:val="both"/>
    </w:pPr>
    <w:rPr>
      <w:rFonts w:ascii="Times New Roman" w:hAnsi="Times New Roman" w:eastAsia="Arial" w:cs="Times New Roman"/>
      <w:color w:val="auto"/>
      <w:sz w:val="26"/>
      <w:szCs w:val="22"/>
      <w:lang w:val="vi-VN" w:bidi="ar-SA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qFormat/>
    <w:pPr>
      <w:spacing w:lineRule="auto" w:line="240" w:before="0" w:after="200"/>
    </w:pPr>
    <w:rPr>
      <w:b/>
      <w:bCs/>
      <w:color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120" w:after="120"/>
      <w:ind w:hanging="0" w:left="720" w:right="0"/>
      <w:contextualSpacing/>
    </w:pPr>
    <w:rPr/>
  </w:style>
  <w:style w:type="paragraph" w:styleId="NormalWeb">
    <w:name w:val="Normal (Web)"/>
    <w:basedOn w:val="Normal"/>
    <w:qFormat/>
    <w:pPr>
      <w:spacing w:lineRule="auto" w:line="240" w:before="280" w:after="280"/>
      <w:jc w:val="left"/>
    </w:pPr>
    <w:rPr>
      <w:rFonts w:eastAsia="Times New Roman"/>
      <w:sz w:val="24"/>
      <w:szCs w:val="24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2016-09-23T06:25:00Z</dcterms:created>
  <dc:creator>Dell</dc:creator>
  <dc:description/>
  <cp:keywords/>
  <dc:language>en-US</dc:language>
  <cp:lastModifiedBy>Van Hoa Nguyen</cp:lastModifiedBy>
  <dcterms:modified xsi:type="dcterms:W3CDTF">2025-09-25T01:42:00Z</dcterms:modified>
  <cp:revision>8</cp:revision>
  <dc:subject/>
  <dc:title/>
</cp:coreProperties>
</file>