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12E81" w14:textId="77777777" w:rsidR="00EF3F0B" w:rsidRDefault="00000000">
      <w:r>
        <w:rPr>
          <w:rFonts w:ascii="Times New Roman" w:hAnsi="Times New Roman"/>
          <w:b/>
          <w:sz w:val="20"/>
        </w:rPr>
        <w:t>1.6 Risks and Challenges</w:t>
      </w:r>
    </w:p>
    <w:p w14:paraId="5CD1E992" w14:textId="041DF76F" w:rsidR="00EF3F0B" w:rsidRDefault="00000000">
      <w:r>
        <w:rPr>
          <w:rFonts w:ascii="Times New Roman" w:hAnsi="Times New Roman"/>
          <w:sz w:val="18"/>
        </w:rPr>
        <w:t>These risks follow directly from the data-preparation work in Section 3</w:t>
      </w:r>
      <w:r w:rsidR="0061133D">
        <w:rPr>
          <w:rFonts w:ascii="Times New Roman" w:hAnsi="Times New Roman"/>
          <w:sz w:val="18"/>
        </w:rPr>
        <w:t>,</w:t>
      </w:r>
      <w:r>
        <w:rPr>
          <w:rFonts w:ascii="Times New Roman" w:hAnsi="Times New Roman"/>
          <w:sz w:val="18"/>
        </w:rPr>
        <w:t xml:space="preserve"> each one is something we measured in this dataset, not a generic list.</w:t>
      </w:r>
    </w:p>
    <w:tbl>
      <w:tblPr>
        <w:tblStyle w:val="TableGrid"/>
        <w:tblW w:w="0" w:type="auto"/>
        <w:tblLook w:val="04A0" w:firstRow="1" w:lastRow="0" w:firstColumn="1" w:lastColumn="0" w:noHBand="0" w:noVBand="1"/>
      </w:tblPr>
      <w:tblGrid>
        <w:gridCol w:w="2880"/>
        <w:gridCol w:w="2880"/>
        <w:gridCol w:w="2880"/>
      </w:tblGrid>
      <w:tr w:rsidR="00EF3F0B" w14:paraId="5A10E060" w14:textId="77777777">
        <w:tc>
          <w:tcPr>
            <w:tcW w:w="2880" w:type="dxa"/>
          </w:tcPr>
          <w:p w14:paraId="7BFA76A7" w14:textId="77777777" w:rsidR="00EF3F0B" w:rsidRDefault="00000000">
            <w:r>
              <w:rPr>
                <w:rFonts w:ascii="Times New Roman" w:hAnsi="Times New Roman"/>
                <w:b/>
                <w:sz w:val="20"/>
              </w:rPr>
              <w:t>Risk</w:t>
            </w:r>
          </w:p>
        </w:tc>
        <w:tc>
          <w:tcPr>
            <w:tcW w:w="2880" w:type="dxa"/>
          </w:tcPr>
          <w:p w14:paraId="52A6E518" w14:textId="77777777" w:rsidR="00EF3F0B" w:rsidRDefault="00000000">
            <w:r>
              <w:rPr>
                <w:rFonts w:ascii="Times New Roman" w:hAnsi="Times New Roman"/>
                <w:b/>
                <w:sz w:val="20"/>
              </w:rPr>
              <w:t>Why it is important</w:t>
            </w:r>
          </w:p>
        </w:tc>
        <w:tc>
          <w:tcPr>
            <w:tcW w:w="2880" w:type="dxa"/>
          </w:tcPr>
          <w:p w14:paraId="67AFB071" w14:textId="77777777" w:rsidR="00EF3F0B" w:rsidRDefault="00000000">
            <w:r>
              <w:rPr>
                <w:rFonts w:ascii="Times New Roman" w:hAnsi="Times New Roman"/>
                <w:b/>
                <w:sz w:val="20"/>
              </w:rPr>
              <w:t>Proposed mitigation</w:t>
            </w:r>
          </w:p>
        </w:tc>
      </w:tr>
      <w:tr w:rsidR="00EF3F0B" w14:paraId="75FA584C" w14:textId="77777777">
        <w:tc>
          <w:tcPr>
            <w:tcW w:w="2880" w:type="dxa"/>
          </w:tcPr>
          <w:p w14:paraId="547CB058" w14:textId="77777777" w:rsidR="00EF3F0B" w:rsidRDefault="00000000">
            <w:r>
              <w:rPr>
                <w:rFonts w:ascii="Times New Roman" w:hAnsi="Times New Roman"/>
                <w:sz w:val="18"/>
              </w:rPr>
              <w:t>Severe, patient-concentrated class imbalance. F is 0.8 % of all beats overall, and one record supplies ~90–95 % of it in both the development set (208) and the test set (213) (3.6, 3.8).</w:t>
            </w:r>
          </w:p>
        </w:tc>
        <w:tc>
          <w:tcPr>
            <w:tcW w:w="2880" w:type="dxa"/>
          </w:tcPr>
          <w:p w14:paraId="4E860845" w14:textId="77777777" w:rsidR="00EF3F0B" w:rsidRDefault="00000000">
            <w:r>
              <w:rPr>
                <w:rFonts w:ascii="Times New Roman" w:hAnsi="Times New Roman"/>
                <w:sz w:val="18"/>
              </w:rPr>
              <w:t>A model can reach high overall accuracy while rarely predicting F or S correctly. Because F is concentrated in one or two patients, good F performance may reflect the model learning one person's ECG rather than the fusion-beat class in general, and would not be visible if we only looked at accuracy.</w:t>
            </w:r>
          </w:p>
        </w:tc>
        <w:tc>
          <w:tcPr>
            <w:tcW w:w="2880" w:type="dxa"/>
          </w:tcPr>
          <w:p w14:paraId="06F812EA" w14:textId="77777777" w:rsidR="00EF3F0B" w:rsidRDefault="00000000">
            <w:r>
              <w:rPr>
                <w:rFonts w:ascii="Times New Roman" w:hAnsi="Times New Roman"/>
                <w:sz w:val="18"/>
              </w:rPr>
              <w:t>Report macro-F1 and per-class precision/recall/F1 rather than accuracy (Section 5); use a class-weighted loss set from the training split only (3.6); treat validation-F (only 21 beats, 3.1) as a coarse pass/fail alarm rather than a metric to optimise; run patient-level error analysis on DS2 (5.5).</w:t>
            </w:r>
          </w:p>
        </w:tc>
      </w:tr>
      <w:tr>
        <w:tc>
          <w:tcPr>
            <w:tcW w:w="2880" w:type="dxa"/>
          </w:tcPr>
          <w:p>
            <w:r>
              <w:rPr>
                <w:rFonts w:ascii="Times New Roman" w:hAnsi="Times New Roman"/>
                <w:sz w:val="18"/>
              </w:rPr>
              <w:t>S beats look like normal beats and are only separable by when they arrive.</w:t>
            </w:r>
          </w:p>
        </w:tc>
        <w:tc>
          <w:tcPr>
            <w:tcW w:w="2880" w:type="dxa"/>
          </w:tcPr>
          <w:p>
            <w:r>
              <w:rPr>
                <w:rFonts w:ascii="Times New Roman" w:hAnsi="Times New Roman"/>
                <w:sz w:val="18"/>
              </w:rPr>
              <w:t>S beats are premature beats that start above the ventricles, so their waveform is almost the same as a normal beat. The main cue is that they come too early. A model that relies on the waveform alone will mistake S for N, and because N is 89.5 % of all beats while S is only 2.8 % (Section 1.5), these errors barely change accuracy but cost S recall. The timing cue is also fragile: it depends on the neighbouring R-peaks being detected correctly, and it is undefined for the first and last beat of a record, which are dropped.</w:t>
            </w:r>
          </w:p>
        </w:tc>
        <w:tc>
          <w:tcPr>
            <w:tcW w:w="2880" w:type="dxa"/>
          </w:tcPr>
          <w:p>
            <w:r>
              <w:rPr>
                <w:rFonts w:ascii="Times New Roman" w:hAnsi="Times New Roman"/>
                <w:sz w:val="18"/>
              </w:rPr>
              <w:t>Give the model the three RR intervals (previous, next and the median of the last four gaps) together with the beat window (Section 1.2), so that an early beat can be compared with the patient's recent rhythm. Compare waveform-only against waveform + RR to show that the timing information is what separates S from N. Report per-class S recall and the S to N confusion rather than accuracy (Section 5), use the class-weighted loss (3.6), and include S beats in the patient-level error analysis on DS2 (5.5).</w:t>
            </w:r>
          </w:p>
        </w:tc>
      </w:tr>
      <w:tr w:rsidR="00EF3F0B" w14:paraId="2756E52A" w14:textId="77777777">
        <w:tc>
          <w:tcPr>
            <w:tcW w:w="2880" w:type="dxa"/>
          </w:tcPr>
          <w:p w14:paraId="201A4BC8" w14:textId="77777777" w:rsidR="00EF3F0B" w:rsidRDefault="00000000">
            <w:r>
              <w:rPr>
                <w:rFonts w:ascii="Times New Roman" w:hAnsi="Times New Roman"/>
                <w:sz w:val="18"/>
              </w:rPr>
              <w:t>Data leakage from patient-correlated morphology if beats were split randomly rather than by record.</w:t>
            </w:r>
          </w:p>
        </w:tc>
        <w:tc>
          <w:tcPr>
            <w:tcW w:w="2880" w:type="dxa"/>
          </w:tcPr>
          <w:p w14:paraId="2BD9E7FD" w14:textId="71156FCC" w:rsidR="00EF3F0B" w:rsidRDefault="00000000">
            <w:r>
              <w:rPr>
                <w:rFonts w:ascii="Times New Roman" w:hAnsi="Times New Roman"/>
                <w:sz w:val="18"/>
              </w:rPr>
              <w:t>Consecutive beats from the same patient share electrode placement, baseline noise and individual anatomy. A random beat-level split would let the model see near-duplicate waveforms in both training and test, inflating reported performance far above what a genuinely unseen patient would give.</w:t>
            </w:r>
          </w:p>
        </w:tc>
        <w:tc>
          <w:tcPr>
            <w:tcW w:w="2880" w:type="dxa"/>
          </w:tcPr>
          <w:p w14:paraId="61A58E74" w14:textId="77777777" w:rsidR="00EF3F0B" w:rsidRDefault="00000000">
            <w:r>
              <w:rPr>
                <w:rFonts w:ascii="Times New Roman" w:hAnsi="Times New Roman"/>
                <w:sz w:val="18"/>
              </w:rPr>
              <w:t>Strict inter-patient DS1/DS2 partition, with the internal train/validation split inside DS1 also performed by record, never by beat (3.1). DS2 stays untouched until final evaluation; no hyperparameter tuning is done against it.</w:t>
            </w:r>
          </w:p>
        </w:tc>
      </w:tr>
      <w:tr w:rsidR="00EF3F0B" w14:paraId="12691815" w14:textId="77777777">
        <w:tc>
          <w:tcPr>
            <w:tcW w:w="2880" w:type="dxa"/>
          </w:tcPr>
          <w:p w14:paraId="4BA23ABF" w14:textId="5F23A299" w:rsidR="00EF3F0B" w:rsidRDefault="00000000">
            <w:r>
              <w:rPr>
                <w:rFonts w:ascii="Times New Roman" w:hAnsi="Times New Roman"/>
                <w:sz w:val="18"/>
              </w:rPr>
              <w:t>FP32 → INT8 quantisation may hurt minority classes more than the aggregate accuracy figure su</w:t>
            </w:r>
            <w:r w:rsidR="00055AE9">
              <w:rPr>
                <w:rFonts w:ascii="Times New Roman" w:hAnsi="Times New Roman"/>
                <w:sz w:val="18"/>
              </w:rPr>
              <w:t>g</w:t>
            </w:r>
            <w:r>
              <w:rPr>
                <w:rFonts w:ascii="Times New Roman" w:hAnsi="Times New Roman"/>
                <w:sz w:val="18"/>
              </w:rPr>
              <w:t>gests.</w:t>
            </w:r>
          </w:p>
        </w:tc>
        <w:tc>
          <w:tcPr>
            <w:tcW w:w="2880" w:type="dxa"/>
          </w:tcPr>
          <w:p w14:paraId="29B49DF6" w14:textId="77777777" w:rsidR="00EF3F0B" w:rsidRDefault="00000000">
            <w:r>
              <w:rPr>
                <w:rFonts w:ascii="Times New Roman" w:hAnsi="Times New Roman"/>
                <w:sz w:val="18"/>
              </w:rPr>
              <w:t>Quantisation error behaves like added noise. Classes with narrower decision margins (S, F) are more likely to flip near a quantisation boundary than the majority N class, so a small aggregate accuracy drop could hide a much larger relative loss on the classes this project cares about clinically.</w:t>
            </w:r>
          </w:p>
        </w:tc>
        <w:tc>
          <w:tcPr>
            <w:tcW w:w="2880" w:type="dxa"/>
          </w:tcPr>
          <w:p w14:paraId="111CA16A" w14:textId="77777777" w:rsidR="00EF3F0B" w:rsidRDefault="00000000">
            <w:r>
              <w:rPr>
                <w:rFonts w:ascii="Times New Roman" w:hAnsi="Times New Roman"/>
                <w:sz w:val="18"/>
              </w:rPr>
              <w:t>Report FP32 vs INT8 per-class metrics side by side, not only the aggregate (Sections 5.1–5.3); keep quantisation-aware training available if the drop is large; constrain the architecture early to operations the MAX78002 accelerator supports, leaving headroom before synthesis is attempted.</w:t>
            </w:r>
          </w:p>
        </w:tc>
      </w:tr>
      <w:tr w:rsidR="00EF3F0B" w14:paraId="2EF96786" w14:textId="77777777">
        <w:tc>
          <w:tcPr>
            <w:tcW w:w="2880" w:type="dxa"/>
          </w:tcPr>
          <w:p w14:paraId="64CD966C" w14:textId="77777777" w:rsidR="00EF3F0B" w:rsidRDefault="00000000">
            <w:r>
              <w:rPr>
                <w:rFonts w:ascii="Times New Roman" w:hAnsi="Times New Roman"/>
                <w:sz w:val="18"/>
              </w:rPr>
              <w:t>Gap between MIT-BIH recording conditions and real ambulatory wearable use.</w:t>
            </w:r>
          </w:p>
        </w:tc>
        <w:tc>
          <w:tcPr>
            <w:tcW w:w="2880" w:type="dxa"/>
          </w:tcPr>
          <w:p w14:paraId="3E10A14C" w14:textId="77777777" w:rsidR="00EF3F0B" w:rsidRDefault="00000000">
            <w:r>
              <w:rPr>
                <w:rFonts w:ascii="Times New Roman" w:hAnsi="Times New Roman"/>
                <w:sz w:val="18"/>
              </w:rPr>
              <w:t>MIT-BIH recordings are calmer than a wearable will encounter in daily use. A model that scores well on clean MIT-BIH beats could still fail in the field, and reporting only clean-test numbers would overstate real-world readiness.</w:t>
            </w:r>
          </w:p>
        </w:tc>
        <w:tc>
          <w:tcPr>
            <w:tcW w:w="2880" w:type="dxa"/>
          </w:tcPr>
          <w:p w14:paraId="1F08C850" w14:textId="77777777" w:rsidR="00EF3F0B" w:rsidRDefault="00000000">
            <w:r>
              <w:rPr>
                <w:rFonts w:ascii="Times New Roman" w:hAnsi="Times New Roman"/>
                <w:sz w:val="18"/>
              </w:rPr>
              <w:t>Explicit noise-robustness protocol (clean / 12 dB / 6 dB / 0 dB) using disjoint train/test halves and channels of the MIT-BIH Noise Stress Test Database, so the robustness numbers cannot be leaked or memorised (3.7).</w:t>
            </w:r>
          </w:p>
        </w:tc>
      </w:tr>
      <w:tr w:rsidR="00EF3F0B" w14:paraId="406D5F29" w14:textId="77777777">
        <w:tc>
          <w:tcPr>
            <w:tcW w:w="2880" w:type="dxa"/>
          </w:tcPr>
          <w:p w14:paraId="31055DF1" w14:textId="77777777" w:rsidR="00EF3F0B" w:rsidRDefault="00000000">
            <w:r>
              <w:rPr>
                <w:rFonts w:ascii="Times New Roman" w:hAnsi="Times New Roman"/>
                <w:sz w:val="18"/>
              </w:rPr>
              <w:t>No physical MAX78002 development kit is available for this project.</w:t>
            </w:r>
          </w:p>
        </w:tc>
        <w:tc>
          <w:tcPr>
            <w:tcW w:w="2880" w:type="dxa"/>
          </w:tcPr>
          <w:p w14:paraId="35F1AD5C" w14:textId="77777777" w:rsidR="00EF3F0B" w:rsidRDefault="00000000">
            <w:r>
              <w:rPr>
                <w:rFonts w:ascii="Times New Roman" w:hAnsi="Times New Roman"/>
                <w:sz w:val="18"/>
              </w:rPr>
              <w:t>Without hardware in hand, real inference latency, power/energy draw and true on-device INT8 accuracy cannot be measured. Treating a successful software toolchain pass as equivalent to a hardware-verified result would overstate deployment readiness.</w:t>
            </w:r>
          </w:p>
        </w:tc>
        <w:tc>
          <w:tcPr>
            <w:tcW w:w="2880" w:type="dxa"/>
          </w:tcPr>
          <w:p w14:paraId="13946EDA" w14:textId="55AE2AD8" w:rsidR="00EF3F0B" w:rsidRDefault="00000000">
            <w:r>
              <w:rPr>
                <w:rFonts w:ascii="Times New Roman" w:hAnsi="Times New Roman"/>
                <w:sz w:val="18"/>
              </w:rPr>
              <w:t>Keep a clear PASS/FAIL software-verification table (toolchain acceptance, quantisation, synthesis, generated files) separate from any hardware claim (Sections 6.3–6.4), and document what could not be tested with a proposed hardware validation plan rather than estimating numbers we cannot measure.</w:t>
            </w:r>
          </w:p>
        </w:tc>
      </w:tr>
    </w:tbl>
    <w:p w14:paraId="3EE88A0D" w14:textId="77777777" w:rsidR="00903179" w:rsidRDefault="00903179"/>
    <w:sectPr w:rsidR="009031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351002">
    <w:abstractNumId w:val="8"/>
  </w:num>
  <w:num w:numId="2" w16cid:durableId="1281381685">
    <w:abstractNumId w:val="6"/>
  </w:num>
  <w:num w:numId="3" w16cid:durableId="84959681">
    <w:abstractNumId w:val="5"/>
  </w:num>
  <w:num w:numId="4" w16cid:durableId="1299531486">
    <w:abstractNumId w:val="4"/>
  </w:num>
  <w:num w:numId="5" w16cid:durableId="1230073737">
    <w:abstractNumId w:val="7"/>
  </w:num>
  <w:num w:numId="6" w16cid:durableId="1976523356">
    <w:abstractNumId w:val="3"/>
  </w:num>
  <w:num w:numId="7" w16cid:durableId="1922370722">
    <w:abstractNumId w:val="2"/>
  </w:num>
  <w:num w:numId="8" w16cid:durableId="1927761258">
    <w:abstractNumId w:val="1"/>
  </w:num>
  <w:num w:numId="9" w16cid:durableId="154837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AE9"/>
    <w:rsid w:val="0006063C"/>
    <w:rsid w:val="000B6D0C"/>
    <w:rsid w:val="0015074B"/>
    <w:rsid w:val="0029639D"/>
    <w:rsid w:val="00326F90"/>
    <w:rsid w:val="0061133D"/>
    <w:rsid w:val="00691EF0"/>
    <w:rsid w:val="00903179"/>
    <w:rsid w:val="00947E46"/>
    <w:rsid w:val="00AA1D8D"/>
    <w:rsid w:val="00B47730"/>
    <w:rsid w:val="00CB0664"/>
    <w:rsid w:val="00EF3F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BC4C0"/>
  <w14:defaultImageDpi w14:val="300"/>
  <w15:docId w15:val="{A5122E0D-739B-4382-8434-E43D7466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Monika Shrivastava</cp:lastModifiedBy>
  <cp:revision>9</cp:revision>
  <dcterms:created xsi:type="dcterms:W3CDTF">2013-12-23T23:15:00Z</dcterms:created>
  <dcterms:modified xsi:type="dcterms:W3CDTF">2026-10-07T11:32:00Z</dcterms:modified>
  <cp:category/>
</cp:coreProperties>
</file>