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Card Fraud Detection Using 1D CNN</w:t>
      </w:r>
    </w:p>
    <w:p>
      <w:pPr>
        <w:jc w:val="center"/>
      </w:pPr>
      <w:r>
        <w:t>Author: Thanishk Palaparthy</w:t>
      </w:r>
    </w:p>
    <w:p>
      <w:pPr>
        <w:jc w:val="center"/>
      </w:pPr>
      <w:r>
        <w:t>Course: Deep Learning — Spring 2026</w:t>
      </w:r>
    </w:p>
    <w:p/>
    <w:p>
      <w:pPr>
        <w:pStyle w:val="Heading1"/>
      </w:pPr>
      <w:r>
        <w:t>1. Project Goal</w:t>
      </w:r>
    </w:p>
    <w:p>
      <w:r>
        <w:t>The primary objective of this project is to predict fraudulent credit card transactions to enable early detection and prevent financial loss. The central challenge is overcoming extreme class imbalance, as fraudulent transactions constitute only 0.172% of the dataset. This goal was successfully achieved; the proposed 1D Convolutional Neural Network (CNN) demonstrated robust detection capabilities, ultimately achieving an F1-score of 0.7930.</w:t>
      </w:r>
    </w:p>
    <w:p>
      <w:pPr>
        <w:pStyle w:val="Heading1"/>
      </w:pPr>
      <w:r>
        <w:t>2. Input and Ground Truth</w:t>
      </w:r>
    </w:p>
    <w:p>
      <w:r>
        <w:t>The model takes 30 numerical features as input. Features V1 through V28 are the result of a PCA transformation applied to the original data for confidentiality. The remaining two features are "Time" (seconds elapsed from the first transaction) and "Amount" (transaction value).</w:t>
      </w:r>
    </w:p>
    <w:p>
      <w:r>
        <w:t>The ground truth target is a binary classification label (Class), where 1 indicates a fraudulent transaction and 0 indicates a legitimate transaction.</w:t>
      </w:r>
    </w:p>
    <w:p>
      <w:pPr>
        <w:pStyle w:val="Heading1"/>
      </w:pPr>
      <w:r>
        <w:t>3. Dataset Description</w:t>
      </w:r>
    </w:p>
    <w:p>
      <w:r>
        <w:t>The Kaggle Credit Card Fraud Detection dataset contains 284,807 credit card transactions made by European cardholders over a two-day period in September 2013. The class distribution is highly imbalanced, comprising 492 fraudulent transactions and 284,315 legitimate transactions. The data is provided in a comma-delimited CSV format.</w:t>
      </w:r>
    </w:p>
    <w:p>
      <w:pPr>
        <w:pStyle w:val="Heading1"/>
      </w:pPr>
      <w:r>
        <w:t>4. Data Processing</w:t>
      </w:r>
    </w:p>
    <w:p>
      <w:pPr>
        <w:pStyle w:val="ListBullet"/>
      </w:pPr>
      <w:r>
        <w:rPr>
          <w:b/>
        </w:rPr>
        <w:t xml:space="preserve">Feature Scaling: </w:t>
      </w:r>
      <w:r>
        <w:t>StandardScaler was applied to all 30 features to normalize them to zero mean and unit variance, preventing variables with larger magnitudes (like Amount) from dominating the learning process. (Note on data leakage: The scaler was fit on the full dataset prior to splitting, representing a minor limitation.)</w:t>
      </w:r>
    </w:p>
    <w:p>
      <w:pPr>
        <w:pStyle w:val="ListBullet"/>
      </w:pPr>
      <w:r>
        <w:rPr>
          <w:b/>
        </w:rPr>
        <w:t xml:space="preserve">Data Splits: </w:t>
      </w:r>
      <w:r>
        <w:t>The dataset was divided into 70% training (199,364 samples) and 30% testing (85,443 samples) using stratified sampling to preserve the original 0.172% fraud ratio in both partitions.</w:t>
      </w:r>
    </w:p>
    <w:p>
      <w:pPr>
        <w:pStyle w:val="ListBullet"/>
      </w:pPr>
      <w:r>
        <w:rPr>
          <w:b/>
        </w:rPr>
        <w:t xml:space="preserve">Imbalance Handling: </w:t>
      </w:r>
      <w:r>
        <w:t>The Synthetic Minority Over-sampling Technique (SMOTE) was applied only to the training set to prevent data leakage, expanding it to approximately 318,000 samples to balance the class representation. The test set remained unaugmented.</w:t>
      </w:r>
    </w:p>
    <w:p>
      <w:pPr>
        <w:pStyle w:val="Heading1"/>
      </w:pPr>
      <w:r>
        <w:t>5. Methodology</w:t>
      </w:r>
    </w:p>
    <w:p>
      <w:pPr>
        <w:pStyle w:val="Heading2"/>
      </w:pPr>
      <w:r>
        <w:t>5.1 Baseline Model</w:t>
      </w:r>
    </w:p>
    <w:p>
      <w:r>
        <w:t>A Logistic Regression classifier served as the linear baseline. It was configured with the L-BFGS solver, a maximum of 1,000 iterations, and class_weight='balanced' to inversely weight class frequencies, effectively handling the imbalance without requiring synthetic oversampling.</w:t>
      </w:r>
    </w:p>
    <w:p>
      <w:pPr>
        <w:pStyle w:val="Heading2"/>
      </w:pPr>
      <w:r>
        <w:t>5.2 CNN Model Architecture</w:t>
      </w:r>
    </w:p>
    <w:p>
      <w:r>
        <w:t>The proposed architecture is a 1D CNN designed to treat the 30 input features as a one-dimensional sequence, capturing local feature interactions via sliding kernels. It consists of three convolutional blocks followed by a dense classification head:</w:t>
      </w:r>
    </w:p>
    <w:p>
      <w:r>
        <w:t>• Block Structure: Conv1D → BatchNorm → MaxPool1D(pool_size=2) → Dropout</w:t>
      </w:r>
    </w:p>
    <w:p>
      <w:r>
        <w:t>• Filters: Doubling progression of 32, 64, and 128 filters (kernel size = 3, padding = same, ReLU activation).</w:t>
      </w:r>
    </w:p>
    <w:p>
      <w:r>
        <w:t>• Classification Head: Flatten → Dense(256, ReLU) → Dense(128, ReLU) → Dense(1, sigmoid).</w:t>
      </w:r>
    </w:p>
    <w:p>
      <w:r>
        <w:t>• Dense Dropout: Calculated as min(dropout_rate + 0.1, 0.5) to apply heavier regularization to the parameter-dense fully connected layers.</w:t>
      </w:r>
    </w:p>
    <w:p>
      <w:pPr>
        <w:pStyle w:val="Heading2"/>
      </w:pPr>
      <w:r>
        <w:t>5.3 Training Details and Reproducibility</w:t>
      </w:r>
    </w:p>
    <w:p>
      <w:r>
        <w:t>• Framework: TensorFlow 2.20.0 (Python 3.9.5). Training was executed on a CPU-only environment due to hardware compatibility constraints.</w:t>
      </w:r>
    </w:p>
    <w:p>
      <w:r>
        <w:t>• Settings: Adam optimizer (learning rate = 0.001), maximum 50 epochs, classification threshold fixed at 0.5.</w:t>
      </w:r>
    </w:p>
    <w:p>
      <w:r>
        <w:t>• Callbacks: EarlyStopping (patience=5, restore best weights) and ReduceLROnPlateau (factor=0.5, patience=3).</w:t>
      </w:r>
    </w:p>
    <w:p>
      <w:r>
        <w:t>• Reproducibility: Random seeds were fixed to 42 across NumPy, TensorFlow, and scikit-learn.</w:t>
      </w:r>
    </w:p>
    <w:p>
      <w:pPr>
        <w:pStyle w:val="Heading1"/>
      </w:pPr>
      <w:r>
        <w:t>6. Performance Improvement Techniques (Ablation Study)</w:t>
      </w:r>
    </w:p>
    <w:p>
      <w:r>
        <w:t>An ablation study (using a uniform 30 epochs) evaluated three key techniques:</w:t>
      </w:r>
    </w:p>
    <w:p>
      <w:pPr>
        <w:pStyle w:val="ListNumber"/>
      </w:pPr>
      <w:r>
        <w:rPr>
          <w:b/>
        </w:rPr>
        <w:t xml:space="preserve">SMOTE Oversampling: </w:t>
      </w:r>
      <w:r>
        <w:t>Counterintuitively, the model trained without SMOTE achieved the highest F1-score (0.7930) compared to the SMOTE-augmented model (0.4401). Training exclusively on real examples yielded a massive precision boost (from 0.2993 to 0.8248), suggesting that SMOTE’s synthetic interpolation introduces disruptive noise near the complex fraud decision boundary.</w:t>
      </w:r>
    </w:p>
    <w:p>
      <w:pPr>
        <w:pStyle w:val="ListNumber"/>
      </w:pPr>
      <w:r>
        <w:rPr>
          <w:b/>
        </w:rPr>
        <w:t xml:space="preserve">Dropout Rate: </w:t>
      </w:r>
      <w:r>
        <w:t>Compared to the default 0.3 rate, removing dropout entirely (0.0) yielded a strong F1-score of 0.7557, indicating the dataset provides sufficient implicit regularization. However, aggressive dropout (0.5) caused severe underfitting, dropping the F1-score to 0.2349.</w:t>
      </w:r>
    </w:p>
    <w:p>
      <w:pPr>
        <w:pStyle w:val="ListNumber"/>
      </w:pPr>
      <w:r>
        <w:rPr>
          <w:b/>
        </w:rPr>
        <w:t xml:space="preserve">Batch Normalization: </w:t>
      </w:r>
      <w:r>
        <w:t>Removing BatchNorm proved catastrophic, dropping the F1-score to 0.2153. This confirms that normalizing intermediate activations is a structural necessity to prevent internal covariate shift in this architecture.</w:t>
      </w:r>
    </w:p>
    <w:p>
      <w:pPr>
        <w:pStyle w:val="Heading1"/>
      </w:pPr>
      <w:r>
        <w:t>7. Performance Evaluation &amp; Comparison of Approaches</w:t>
      </w:r>
    </w:p>
    <w:p>
      <w:r>
        <w:t>Models were evaluated using Precision, Recall, F1-score, ROC-AUC, and PR-AUC, prioritizing PR-AUC and F1 due to the asymmetric costs of misclassification.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Precision</w:t>
            </w:r>
          </w:p>
        </w:tc>
        <w:tc>
          <w:tcPr>
            <w:tcW w:type="dxa" w:w="1440"/>
          </w:tcPr>
          <w:p>
            <w:r>
              <w:rPr>
                <w:b/>
              </w:rPr>
              <w:t>Recall</w:t>
            </w:r>
          </w:p>
        </w:tc>
        <w:tc>
          <w:tcPr>
            <w:tcW w:type="dxa" w:w="1440"/>
          </w:tcPr>
          <w:p>
            <w:r>
              <w:rPr>
                <w:b/>
              </w:rPr>
              <w:t>F1</w:t>
            </w:r>
          </w:p>
        </w:tc>
        <w:tc>
          <w:tcPr>
            <w:tcW w:type="dxa" w:w="1440"/>
          </w:tcPr>
          <w:p>
            <w:r>
              <w:rPr>
                <w:b/>
              </w:rPr>
              <w:t>ROC-AUC</w:t>
            </w:r>
          </w:p>
        </w:tc>
        <w:tc>
          <w:tcPr>
            <w:tcW w:type="dxa" w:w="1440"/>
          </w:tcPr>
          <w:p>
            <w:r>
              <w:rPr>
                <w:b/>
              </w:rPr>
              <w:t>PR-AUC</w:t>
            </w:r>
          </w:p>
        </w:tc>
      </w:tr>
      <w:tr>
        <w:tc>
          <w:tcPr>
            <w:tcW w:type="dxa" w:w="1440"/>
          </w:tcPr>
          <w:p>
            <w:r>
              <w:t>Logistic Regression</w:t>
            </w:r>
          </w:p>
        </w:tc>
        <w:tc>
          <w:tcPr>
            <w:tcW w:type="dxa" w:w="1440"/>
          </w:tcPr>
          <w:p>
            <w:r>
              <w:t>0.0673</w:t>
            </w:r>
          </w:p>
        </w:tc>
        <w:tc>
          <w:tcPr>
            <w:tcW w:type="dxa" w:w="1440"/>
          </w:tcPr>
          <w:p>
            <w:r>
              <w:t>0.8784</w:t>
            </w:r>
          </w:p>
        </w:tc>
        <w:tc>
          <w:tcPr>
            <w:tcW w:type="dxa" w:w="1440"/>
          </w:tcPr>
          <w:p>
            <w:r>
              <w:t>0.1249</w:t>
            </w:r>
          </w:p>
        </w:tc>
        <w:tc>
          <w:tcPr>
            <w:tcW w:type="dxa" w:w="1440"/>
          </w:tcPr>
          <w:p>
            <w:r>
              <w:t>0.9683</w:t>
            </w:r>
          </w:p>
        </w:tc>
        <w:tc>
          <w:tcPr>
            <w:tcW w:type="dxa" w:w="1440"/>
          </w:tcPr>
          <w:p>
            <w:r>
              <w:t>0.7406</w:t>
            </w:r>
          </w:p>
        </w:tc>
      </w:tr>
      <w:tr>
        <w:tc>
          <w:tcPr>
            <w:tcW w:type="dxa" w:w="1440"/>
          </w:tcPr>
          <w:p>
            <w:r>
              <w:t>1D CNN (Default w/ SMOTE)</w:t>
            </w:r>
          </w:p>
        </w:tc>
        <w:tc>
          <w:tcPr>
            <w:tcW w:type="dxa" w:w="1440"/>
          </w:tcPr>
          <w:p>
            <w:r>
              <w:t>0.2993</w:t>
            </w:r>
          </w:p>
        </w:tc>
        <w:tc>
          <w:tcPr>
            <w:tcW w:type="dxa" w:w="1440"/>
          </w:tcPr>
          <w:p>
            <w:r>
              <w:t>0.8311</w:t>
            </w:r>
          </w:p>
        </w:tc>
        <w:tc>
          <w:tcPr>
            <w:tcW w:type="dxa" w:w="1440"/>
          </w:tcPr>
          <w:p>
            <w:r>
              <w:t>0.4401</w:t>
            </w:r>
          </w:p>
        </w:tc>
        <w:tc>
          <w:tcPr>
            <w:tcW w:type="dxa" w:w="1440"/>
          </w:tcPr>
          <w:p>
            <w:r>
              <w:t>0.9543</w:t>
            </w:r>
          </w:p>
        </w:tc>
        <w:tc>
          <w:tcPr>
            <w:tcW w:type="dxa" w:w="1440"/>
          </w:tcPr>
          <w:p>
            <w:r>
              <w:t>0.8052</w:t>
            </w:r>
          </w:p>
        </w:tc>
      </w:tr>
      <w:tr>
        <w:tc>
          <w:tcPr>
            <w:tcW w:type="dxa" w:w="1440"/>
          </w:tcPr>
          <w:p>
            <w:r>
              <w:t>1D CNN (Best Ablation: No SMOTE)</w:t>
            </w:r>
          </w:p>
        </w:tc>
        <w:tc>
          <w:tcPr>
            <w:tcW w:type="dxa" w:w="1440"/>
          </w:tcPr>
          <w:p>
            <w:r>
              <w:t>0.8248</w:t>
            </w:r>
          </w:p>
        </w:tc>
        <w:tc>
          <w:tcPr>
            <w:tcW w:type="dxa" w:w="1440"/>
          </w:tcPr>
          <w:p>
            <w:r>
              <w:t>0.7635</w:t>
            </w:r>
          </w:p>
        </w:tc>
        <w:tc>
          <w:tcPr>
            <w:tcW w:type="dxa" w:w="1440"/>
          </w:tcPr>
          <w:p>
            <w:r>
              <w:t>0.7930</w:t>
            </w:r>
          </w:p>
        </w:tc>
        <w:tc>
          <w:tcPr>
            <w:tcW w:type="dxa" w:w="1440"/>
          </w:tcPr>
          <w:p>
            <w:r>
              <w:t>0.9421</w:t>
            </w:r>
          </w:p>
        </w:tc>
        <w:tc>
          <w:tcPr>
            <w:tcW w:type="dxa" w:w="1440"/>
          </w:tcPr>
          <w:p>
            <w:r>
              <w:t>0.8026</w:t>
            </w:r>
          </w:p>
        </w:tc>
      </w:tr>
      <w:tr>
        <w:tc>
          <w:tcPr>
            <w:tcW w:type="dxa" w:w="1440"/>
          </w:tcPr>
          <w:p>
            <w:r>
              <w:t>MobileNetV2 (Foundation)</w:t>
            </w:r>
          </w:p>
        </w:tc>
        <w:tc>
          <w:tcPr>
            <w:tcW w:type="dxa" w:w="1440"/>
          </w:tcPr>
          <w:p>
            <w:r>
              <w:t>0.0148</w:t>
            </w:r>
          </w:p>
        </w:tc>
        <w:tc>
          <w:tcPr>
            <w:tcW w:type="dxa" w:w="1440"/>
          </w:tcPr>
          <w:p>
            <w:r>
              <w:t>0.6824</w:t>
            </w:r>
          </w:p>
        </w:tc>
        <w:tc>
          <w:tcPr>
            <w:tcW w:type="dxa" w:w="1440"/>
          </w:tcPr>
          <w:p>
            <w:r>
              <w:t>0.0291</w:t>
            </w:r>
          </w:p>
        </w:tc>
        <w:tc>
          <w:tcPr>
            <w:tcW w:type="dxa" w:w="1440"/>
          </w:tcPr>
          <w:p>
            <w:r>
              <w:t>0.8758</w:t>
            </w:r>
          </w:p>
        </w:tc>
        <w:tc>
          <w:tcPr>
            <w:tcW w:type="dxa" w:w="1440"/>
          </w:tcPr>
          <w:p>
            <w:r>
              <w:t>0.3016</w:t>
            </w:r>
          </w:p>
        </w:tc>
      </w:tr>
    </w:tbl>
    <w:p>
      <w:r>
        <w:rPr>
          <w:b/>
        </w:rPr>
        <w:t xml:space="preserve">Analysis: </w:t>
      </w:r>
      <w:r>
        <w:t>While Logistic Regression achieved the highest ROC-AUC (0.9683), its precision completely collapsed (0.0673) at the 0.5 threshold, meaning 93% of its fraud flags were false alarms. The 1D CNN without SMOTE emerged as the best approach, providing the optimal balance of catching fraud while maintaining operational viability (Precision: 0.8248).</w:t>
      </w:r>
    </w:p>
    <w:p>
      <w:pPr>
        <w:pStyle w:val="Heading1"/>
      </w:pPr>
      <w:r>
        <w:t>8. Foundation Model Comparison</w:t>
      </w:r>
    </w:p>
    <w:p>
      <w:r>
        <w:t>MobileNetV2 (0.4M parameters, ImageNet pre-trained) was evaluated to test transfer learning applicability. The 30 tabular features were artificially reshaped into a 6x5x1 image, tiled to 3 channels, and resized to 32x32x3 via bilinear interpolation.</w:t>
      </w:r>
    </w:p>
    <w:p>
      <w:r>
        <w:t>The 1D CNN drastically outperformed MobileNetV2 (F1: 0.4333 vs. 0.0291). This failure is attributed to severe domain mismatch: MobileNetV2’s frozen convolutional filters are optimized to detect spatial shapes and textures in natural images, which are completely irrelevant to artificially gridded financial tabular data.</w:t>
      </w:r>
    </w:p>
    <w:p>
      <w:pPr>
        <w:pStyle w:val="Heading1"/>
      </w:pPr>
      <w:r>
        <w:t>9. Error and Failure Analysis</w:t>
      </w:r>
    </w:p>
    <w:p>
      <w:r>
        <w:t>An analysis of the default 1D CNN test set errors revealed 23 false negatives (missed fraud) and 304 false positives (false alarms).</w:t>
      </w:r>
    </w:p>
    <w:p>
      <w:pPr>
        <w:pStyle w:val="ListBullet"/>
      </w:pPr>
      <w:r>
        <w:rPr>
          <w:b/>
        </w:rPr>
        <w:t xml:space="preserve">High-Confidence Errors: </w:t>
      </w:r>
      <w:r>
        <w:t>False negatives had a mean predicted probability of just 0.0005, while false positives had a mean confidence of 0.8641. The model is not uncertain; it is systematically deceived.</w:t>
      </w:r>
    </w:p>
    <w:p>
      <w:pPr>
        <w:pStyle w:val="ListBullet"/>
      </w:pPr>
      <w:r>
        <w:rPr>
          <w:b/>
        </w:rPr>
        <w:t xml:space="preserve">Feature Overlap: </w:t>
      </w:r>
      <w:r>
        <w:t>Misclassified fraud samples lacked typical fraudulent signatures, clustering completely within the "normal" PCA feature ranges. Conversely, false positives were predominantly low-value transactions (mean normalized Amount = 0.03) that coincidentally mimicked fraud patterns.</w:t>
      </w:r>
    </w:p>
    <w:p>
      <w:pPr>
        <w:pStyle w:val="Heading1"/>
      </w:pPr>
      <w:r>
        <w:t>10. Individual Contributions &amp; Team Collaboration</w:t>
      </w:r>
    </w:p>
    <w:p>
      <w:r>
        <w:t>While the project was a collaborative effort, a parallel execution strategy was utilized for cross-verification. I independently implemented the full end-to-end pipeline in my designated directory (code_thanishk/). This included data processing, baseline implementation, CNN architecture design, the execution of the full ablation study, and the foundation model comparison. This dual-pipeline approach ensured that the findings regarding SMOTE and architecture stability were robust, reproducible, and not artifacts of a single codebase.</w:t>
      </w:r>
    </w:p>
    <w:p>
      <w:pPr>
        <w:pStyle w:val="Heading1"/>
      </w:pPr>
      <w:r>
        <w:t>11. Conclusion</w:t>
      </w:r>
    </w:p>
    <w:p>
      <w:r>
        <w:t>This project successfully developed a 1D CNN for highly imbalanced tabular fraud detection. The most significant finding challenges standard deep learning assumptions: synthetic oversampling (SMOTE) degraded performance by introducing noise near the decision boundary. The model trained purely on real examples, regularized via BatchNorm, achieved a superior F1-score of 0.7930. Future work should explore classification threshold tuning on a validation set and the integration of ensemble methods or tabular-native transformers like TabNet.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