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sectPr>
          <w:pgSz w:w="11906" w:h="16838"/>
          <w:pgMar w:top="1440" w:right="1440" w:bottom="1440" w:left="1440" w:header="708" w:footer="708" w:gutter="0"/>
          <w:cols w:space="708" w:num="1"/>
          <w:docGrid w:linePitch="360" w:charSpace="0"/>
        </w:sectPr>
      </w:pPr>
      <w:bookmarkStart w:id="0" w:name="_Hlk165229541"/>
      <w:bookmarkEnd w:id="0"/>
      <w:r>
        <w:rPr>
          <w:rFonts w:hint="default" w:ascii="Times New Roman" w:hAnsi="Times New Roman" w:cs="Times New Roman"/>
        </w:rPr>
        <w:drawing>
          <wp:inline distT="0" distB="0" distL="0" distR="0">
            <wp:extent cx="5731510" cy="2674620"/>
            <wp:effectExtent l="0" t="0" r="2540" b="0"/>
            <wp:docPr id="57503076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30765" name="Picture 1" descr="A close-up of a graph&#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bookmarkStart w:id="1" w:name="_Hlk165271812"/>
      <w:r>
        <w:rPr>
          <w:rFonts w:hint="default" w:ascii="Times New Roman" w:hAnsi="Times New Roman" w:cs="Times New Roman"/>
        </w:rPr>
        <w:t>Top 5 States by Average Crude Death Rate: The pie chart on the top left shows that West Virginia, New Mexico, Nevada, Kentucky, and Utah are the top five states with the highest average crude death rate due to drug poisoning. West Virginia leads with a slightly larger share, indicated by the largest pie slice.</w:t>
      </w:r>
    </w:p>
    <w:bookmarkEnd w:id="1"/>
    <w:p>
      <w:pPr>
        <w:rPr>
          <w:rFonts w:hint="default" w:ascii="Times New Roman" w:hAnsi="Times New Roman" w:cs="Times New Roman"/>
        </w:rPr>
      </w:pPr>
      <w:r>
        <w:rPr>
          <w:rFonts w:hint="default" w:ascii="Times New Roman" w:hAnsi="Times New Roman" w:cs="Times New Roman"/>
        </w:rPr>
        <w:t>Crude Death Rate by Sex: The box plot in the centre at the top indicates a variation in the crude death rate between male and female populations. The spread and median value are higher for males compared to females, suggesting that males may have a higher crude death rate from drug poisoning.</w:t>
      </w:r>
    </w:p>
    <w:p>
      <w:pPr>
        <w:rPr>
          <w:rFonts w:hint="default" w:ascii="Times New Roman" w:hAnsi="Times New Roman" w:cs="Times New Roman"/>
        </w:rPr>
      </w:pPr>
      <w:r>
        <w:rPr>
          <w:rFonts w:hint="default" w:ascii="Times New Roman" w:hAnsi="Times New Roman" w:cs="Times New Roman"/>
        </w:rPr>
        <w:t>Death Distribution by Age Group: The donut chart on the top right displays the distribution of deaths by age group. A significant portion of deaths is concentrated in the "All Ages" category, which may represent data that hasn't been disaggregated into specific age groups. Of the disaggregated data, the 45-54 age group appears to have the highest percentage among specific age brackets.</w:t>
      </w:r>
    </w:p>
    <w:p>
      <w:pPr>
        <w:rPr>
          <w:rFonts w:hint="default" w:ascii="Times New Roman" w:hAnsi="Times New Roman" w:cs="Times New Roman"/>
        </w:rPr>
      </w:pPr>
      <w:bookmarkStart w:id="2" w:name="_Hlk165272072"/>
      <w:r>
        <w:rPr>
          <w:rFonts w:hint="default" w:ascii="Times New Roman" w:hAnsi="Times New Roman" w:cs="Times New Roman"/>
        </w:rPr>
        <w:t>Trends for Top 5 States by Deaths over Years: The line graph at the bottom spans over years from around 1998 to 2016. It shows an increasing trend in the number of deaths for the top five states mentioned. All states show a rise in deaths, but Texas, California, and Pennsylvania, in particular, show a steep increase in the last years of the data, indicating a worsening situation.</w:t>
      </w:r>
    </w:p>
    <w:bookmarkEnd w:id="2"/>
    <w:p>
      <w:pPr>
        <w:rPr>
          <w:rFonts w:hint="default" w:ascii="Times New Roman" w:hAnsi="Times New Roman" w:cs="Times New Roman"/>
        </w:rPr>
      </w:pPr>
      <w:r>
        <w:rPr>
          <w:rFonts w:hint="default" w:ascii="Times New Roman" w:hAnsi="Times New Roman" w:cs="Times New Roman"/>
        </w:rPr>
        <w:t>Data Trends and Possible Concerns: The increasing trends in the line graph, along with the significant percentage of deaths in certain age groups, suggest an ongoing public health concern with drug poisoning deaths. The state-specific differences highlight the importance of localized policy and healthcare responses.</w:t>
      </w:r>
    </w:p>
    <w:p>
      <w:pPr>
        <w:rPr>
          <w:rFonts w:hint="default" w:ascii="Times New Roman" w:hAnsi="Times New Roman" w:cs="Times New Roman"/>
        </w:rPr>
      </w:pPr>
      <w:r>
        <w:rPr>
          <w:rFonts w:hint="default" w:ascii="Times New Roman" w:hAnsi="Times New Roman" w:cs="Times New Roman"/>
        </w:rPr>
        <w:t>Need for Further Analysis: While the visualizations provide an overview, further analysis could reveal more detailed patterns, such as time-specific increases or the impact of interventions. It would also be useful to investigate the reasons behind the gender differences in death rates and to explore the data behind the "All Ages" category in the donut chart.</w:t>
      </w:r>
    </w:p>
    <w:p>
      <w:pPr>
        <w:rPr>
          <w:rFonts w:hint="default" w:ascii="Times New Roman" w:hAnsi="Times New Roman" w:cs="Times New Roman"/>
        </w:rPr>
      </w:pPr>
      <w:r>
        <w:rPr>
          <w:rFonts w:hint="default" w:ascii="Times New Roman" w:hAnsi="Times New Roman" w:cs="Times New Roman"/>
        </w:rPr>
        <w:t>Crude Death Rate by Sex: The box plot in the center at the top indicates a variation in the crude death rate between male and female populations. The spread and median value are higher for males compared to females, suggesting that males may have a higher crude death rate from drug poisoning.</w:t>
      </w:r>
    </w:p>
    <w:p>
      <w:pPr>
        <w:rPr>
          <w:rFonts w:hint="default" w:ascii="Times New Roman" w:hAnsi="Times New Roman" w:cs="Times New Roman"/>
        </w:rPr>
      </w:pPr>
    </w:p>
    <w:p>
      <w:pPr>
        <w:rPr>
          <w:rFonts w:hint="default" w:ascii="Times New Roman" w:hAnsi="Times New Roman" w:cs="Times New Roman"/>
        </w:rPr>
      </w:pPr>
      <w:bookmarkStart w:id="3" w:name="_GoBack"/>
      <w:bookmarkEnd w:id="3"/>
    </w:p>
    <w:sectPr>
      <w:type w:val="continuous"/>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96"/>
    <w:rsid w:val="00011DDA"/>
    <w:rsid w:val="000B6200"/>
    <w:rsid w:val="00124DEB"/>
    <w:rsid w:val="002A51FA"/>
    <w:rsid w:val="00395318"/>
    <w:rsid w:val="004B6996"/>
    <w:rsid w:val="00546C08"/>
    <w:rsid w:val="006D4A50"/>
    <w:rsid w:val="006E1CFB"/>
    <w:rsid w:val="0071140B"/>
    <w:rsid w:val="007661B5"/>
    <w:rsid w:val="00A43F58"/>
    <w:rsid w:val="00BF1D3A"/>
    <w:rsid w:val="00E11EB4"/>
    <w:rsid w:val="00E158E3"/>
    <w:rsid w:val="077D11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autoRedefine/>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autoRedefine/>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autoRedefine/>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autoRedefine/>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autoRedefine/>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Subtitle"/>
    <w:basedOn w:val="1"/>
    <w:next w:val="1"/>
    <w:link w:val="25"/>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autoRedefine/>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autoRedefine/>
    <w:semiHidden/>
    <w:qFormat/>
    <w:uiPriority w:val="9"/>
    <w:rPr>
      <w:rFonts w:eastAsiaTheme="majorEastAsia" w:cstheme="majorBidi"/>
      <w:i/>
      <w:iCs/>
      <w:color w:val="104862" w:themeColor="accent1" w:themeShade="BF"/>
    </w:rPr>
  </w:style>
  <w:style w:type="character" w:customStyle="1" w:styleId="19">
    <w:name w:val="Heading 5 Char"/>
    <w:basedOn w:val="11"/>
    <w:link w:val="6"/>
    <w:autoRedefine/>
    <w:semiHidden/>
    <w:qFormat/>
    <w:uiPriority w:val="9"/>
    <w:rPr>
      <w:rFonts w:eastAsiaTheme="majorEastAsia" w:cstheme="majorBidi"/>
      <w:color w:val="104862" w:themeColor="accent1" w:themeShade="BF"/>
    </w:rPr>
  </w:style>
  <w:style w:type="character" w:customStyle="1" w:styleId="20">
    <w:name w:val="Heading 6 Char"/>
    <w:basedOn w:val="11"/>
    <w:link w:val="7"/>
    <w:autoRedefine/>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autoRedefine/>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autoRedefine/>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autoRedefine/>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autoRedefine/>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autoRedefine/>
    <w:qFormat/>
    <w:uiPriority w:val="30"/>
    <w:rPr>
      <w:i/>
      <w:iCs/>
      <w:color w:val="104862" w:themeColor="accent1" w:themeShade="BF"/>
    </w:rPr>
  </w:style>
  <w:style w:type="character" w:customStyle="1" w:styleId="32">
    <w:name w:val="Intense Reference"/>
    <w:basedOn w:val="11"/>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444</Words>
  <Characters>2537</Characters>
  <Lines>21</Lines>
  <Paragraphs>5</Paragraphs>
  <TotalTime>463</TotalTime>
  <ScaleCrop>false</ScaleCrop>
  <LinksUpToDate>false</LinksUpToDate>
  <CharactersWithSpaces>2976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2024-04-28T15:11:00Z</dcterms:created>
  <dc:creator>Shrey Sanjay Kekade</dc:creator>
  <cp:lastModifiedBy>AJINKYA CHINTAWAR</cp:lastModifiedBy>
  <dcterms:modified xsi:type="dcterms:W3CDTF">2024-05-01T13:32:16Z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31AE4BFC87A04F0B94708EDFFB9E7AD5_12</vt:lpwstr>
  </property>
</Properties>
</file>