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Thanoon Y. Mohammed</w:t>
        <w:br/>
        <w:t>Department of Computer Technique Engineering</w:t>
        <w:br/>
        <w:t>Northern Technical University, Mosul, Iraq</w:t>
        <w:br/>
        <w:t>thanon.younes@ntu.edu.iq</w:t>
      </w:r>
    </w:p>
    <w:p>
      <w:r>
        <w:t>To the Editors-in-Chief</w:t>
        <w:br/>
        <w:t>Journal of Cloud Computing: Advances, Systems and Applications</w:t>
      </w:r>
    </w:p>
    <w:p>
      <w:r>
        <w:t>Dear Editors,</w:t>
      </w:r>
    </w:p>
    <w:p>
      <w:r>
        <w:t>We submit the manuscript “FedTW: target-wise label-shift correction for federated multi-target cloud workload forecasting under heterogeneous clients” for consideration as a Research article in the Journal of Cloud Computing.</w:t>
      </w:r>
    </w:p>
    <w:p>
      <w:r>
        <w:t>Cloud sites that wish to train a shared workload forecaster without pooling their utilisation traces rarely hold identically distributed jobs, because sites specialise in different kinds of work. Using the Alibaba 2017 and CC-IN2P3 2024 production traces and a strictly budget-matched protocol, we show that such specialisation damages only the forecast of the target whose range differs across sites, and that the widely used FedProx proximal term does not repair this damage at any coefficient once all methods receive the same training budget. We identify the failure as a label-shift problem and propose FedTW, a target-wise importance re-weighting computed from one-shot histograms. FedTW significantly improves the skewed target in every target-skew regime of both traces, recovers 92% and 83% of the accuracy lost under the most extreme partition, matches federated averaging when clients are identically distributed, adds no per-round communication and combines with adaptive server optimisers.</w:t>
      </w:r>
    </w:p>
    <w:p>
      <w:r>
        <w:t>We believe the work fits the journal's scope in cloud resource management and distributed learning for cloud systems. The study uses ten seeds per configuration, paired non-parametric tests with multiplicity correction, block-bootstrap intervals and temporal hold-outs, and all code, partitions and per-seed results are released for reproduction.</w:t>
      </w:r>
    </w:p>
    <w:p>
      <w:r>
        <w:t>This manuscript is a substantially new study. It builds on an earlier analysis of FedProx on the same traces that was not published; the protocol, experiments, method, results and text of the present manuscript are new. The manuscript is not under consideration by any other journal, and all authors have approved the submission. The authors declare no competing interests.</w:t>
      </w:r>
    </w:p>
    <w:p>
      <w:r>
        <w:t>Thank you for considering our work.</w:t>
      </w:r>
    </w:p>
    <w:p>
      <w:r>
        <w:t>Sincerely,</w:t>
        <w:br/>
        <w:t>Thanoon Y. Mohammed,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