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600"/>
      </w:pPr>
      <w:r>
        <w:rPr>
          <w:rFonts w:ascii="Georgia" w:cs="Georgia" w:eastAsia="Georgia" w:hAnsi="Georgia"/>
          <w:b/>
          <w:bCs/>
          <w:color w:val="0A1F44"/>
          <w:sz w:val="56"/>
          <w:szCs w:val="56"/>
        </w:rPr>
        <w:t xml:space="preserve">MSR_DELUXE</w:t>
      </w:r>
    </w:p>
    <w:p>
      <w:pPr>
        <w:spacing w:after="40"/>
      </w:pPr>
      <w:r>
        <w:rPr>
          <w:rFonts w:ascii="Georgia" w:cs="Georgia" w:eastAsia="Georgia" w:hAnsi="Georgia"/>
          <w:i/>
          <w:iCs/>
          <w:color w:val="B5822F"/>
          <w:sz w:val="32"/>
          <w:szCs w:val="32"/>
        </w:rPr>
        <w:t xml:space="preserve">Anforderungsdokument &amp; Roadmap</w:t>
      </w:r>
    </w:p>
    <w:p>
      <w:pPr>
        <w:spacing w:after="500"/>
      </w:pPr>
      <w:r>
        <w:rPr>
          <w:rFonts w:ascii="Calibri" w:cs="Calibri" w:eastAsia="Calibri" w:hAnsi="Calibri"/>
          <w:color w:val="5A6B8C"/>
          <w:sz w:val="22"/>
          <w:szCs w:val="22"/>
        </w:rPr>
        <w:t xml:space="preserve">Von der Demo zur produktiven Anlagenanbindung</w:t>
      </w:r>
    </w:p>
    <w:p>
      <w:pPr>
        <w:pBdr>
          <w:top w:val="single" w:color="D7DEEA" w:sz="4" w:space="8"/>
        </w:pBdr>
        <w:spacing w:after="240"/>
      </w:pPr>
    </w:p>
    <w:p>
      <w:pPr>
        <w:spacing w:after="60"/>
      </w:pPr>
      <w:r>
        <w:rPr>
          <w:rFonts w:ascii="Calibri" w:cs="Calibri" w:eastAsia="Calibri" w:hAnsi="Calibri"/>
          <w:b/>
          <w:bCs/>
          <w:color w:val="0A1F44"/>
          <w:sz w:val="21"/>
          <w:szCs w:val="21"/>
        </w:rPr>
        <w:t xml:space="preserve">Stand: </w:t>
      </w:r>
      <w:r>
        <w:rPr>
          <w:rFonts w:ascii="Calibri" w:cs="Calibri" w:eastAsia="Calibri" w:hAnsi="Calibri"/>
          <w:sz w:val="21"/>
          <w:szCs w:val="21"/>
        </w:rPr>
        <w:t xml:space="preserve">6.8.2026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0A1F44"/>
          <w:sz w:val="21"/>
          <w:szCs w:val="21"/>
        </w:rPr>
        <w:t xml:space="preserve">Bezug: </w:t>
      </w:r>
      <w:r>
        <w:rPr>
          <w:rFonts w:ascii="Calibri" w:cs="Calibri" w:eastAsia="Calibri" w:hAnsi="Calibri"/>
          <w:sz w:val="21"/>
          <w:szCs w:val="21"/>
        </w:rPr>
        <w:t xml:space="preserve">MSR_DELUXE Anlagendashboard-Demo (demo/msr175-dashboard/)</w:t>
      </w:r>
    </w:p>
    <w:p>
      <w:pPr>
        <w:spacing w:after="400"/>
      </w:pPr>
      <w:r>
        <w:rPr>
          <w:rFonts w:ascii="Calibri" w:cs="Calibri" w:eastAsia="Calibri" w:hAnsi="Calibri"/>
          <w:b/>
          <w:bCs/>
          <w:color w:val="0A1F44"/>
          <w:sz w:val="21"/>
          <w:szCs w:val="21"/>
        </w:rPr>
        <w:t xml:space="preserve">Status: </w:t>
      </w:r>
      <w:r>
        <w:rPr>
          <w:rFonts w:ascii="Calibri" w:cs="Calibri" w:eastAsia="Calibri" w:hAnsi="Calibri"/>
          <w:sz w:val="21"/>
          <w:szCs w:val="21"/>
        </w:rPr>
        <w:t xml:space="preserve">Entwurf zur internen Abstimmung</w:t>
      </w:r>
    </w:p>
    <w:p>
      <w:r>
        <w:br w:type="page"/>
      </w:r>
    </w:p>
    <w:p>
      <w:pPr>
        <w:pStyle w:val="Heading1"/>
        <w:pBdr>
          <w:bottom w:val="single" w:color="B5822F" w:sz="6" w:space="6"/>
        </w:pBdr>
        <w:spacing w:after="180" w:before="420"/>
      </w:pPr>
      <w:r>
        <w:rPr>
          <w:rFonts w:ascii="Georgia" w:cs="Georgia" w:eastAsia="Georgia" w:hAnsi="Georgia"/>
          <w:b/>
          <w:bCs/>
          <w:color w:val="0A1F44"/>
          <w:sz w:val="30"/>
          <w:szCs w:val="30"/>
        </w:rPr>
        <w:t xml:space="preserve">Inhalt</w:t>
      </w:r>
    </w:p>
    <w:sdt>
      <w:sdtPr>
        <w:alias w:val="Inhalt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pBdr>
          <w:bottom w:val="single" w:color="B5822F" w:sz="6" w:space="6"/>
        </w:pBdr>
        <w:spacing w:after="180" w:before="420"/>
      </w:pPr>
      <w:r>
        <w:rPr>
          <w:rFonts w:ascii="Georgia" w:cs="Georgia" w:eastAsia="Georgia" w:hAnsi="Georgia"/>
          <w:b/>
          <w:bCs/>
          <w:color w:val="0A1F44"/>
          <w:sz w:val="30"/>
          <w:szCs w:val="30"/>
        </w:rPr>
        <w:t xml:space="preserve">1. Zweck des Dokuments</w:t>
      </w:r>
    </w:p>
    <w:p>
      <w:pPr>
        <w:spacing w:after="160" w:line="300"/>
      </w:pPr>
      <w:r>
        <w:rPr>
          <w:rFonts w:ascii="Calibri" w:cs="Calibri" w:eastAsia="Calibri" w:hAnsi="Calibri"/>
          <w:i w:val="false"/>
          <w:iCs w:val="false"/>
          <w:color w:val="222222"/>
          <w:sz w:val="21"/>
          <w:szCs w:val="21"/>
        </w:rPr>
        <w:t xml:space="preserve">Dieses Dokument beschreibt, was technisch nötig ist, um aus der bestehenden MSR_DELUXE-Demo (statisches Frontend mit simulierten Daten) ein produktives, an reale Anlagen angebundenes System zu machen – inklusive Funktionsumfang, Architektur, Phasenplan und grobem Kostenrahmen. Es dient als Diskussionsgrundlage für Priorisierung und Budgetentscheidung, nicht als abgeschlossenes Lastenheft.</w:t>
      </w:r>
    </w:p>
    <w:p>
      <w:pPr>
        <w:pStyle w:val="Heading1"/>
        <w:pBdr>
          <w:bottom w:val="single" w:color="B5822F" w:sz="6" w:space="6"/>
        </w:pBdr>
        <w:spacing w:after="180" w:before="420"/>
      </w:pPr>
      <w:r>
        <w:rPr>
          <w:rFonts w:ascii="Georgia" w:cs="Georgia" w:eastAsia="Georgia" w:hAnsi="Georgia"/>
          <w:b/>
          <w:bCs/>
          <w:color w:val="0A1F44"/>
          <w:sz w:val="30"/>
          <w:szCs w:val="30"/>
        </w:rPr>
        <w:t xml:space="preserve">2. Ist-Zustand</w:t>
      </w:r>
    </w:p>
    <w:p>
      <w:pPr>
        <w:spacing w:after="160" w:line="300"/>
      </w:pPr>
      <w:r>
        <w:rPr>
          <w:rFonts w:ascii="Calibri" w:cs="Calibri" w:eastAsia="Calibri" w:hAnsi="Calibri"/>
          <w:i w:val="false"/>
          <w:iCs w:val="false"/>
          <w:color w:val="222222"/>
          <w:sz w:val="21"/>
          <w:szCs w:val="21"/>
        </w:rPr>
        <w:t xml:space="preserve">Die aktuelle Demo ist ein eigenständiges, rein clientseitiges HTML/CSS/JS-Frontend mit vier Dashboard-Ebenen (Operativ, Analytisch, System &amp; Anlagen, Strategisch) sowie einer Sidebar mit Alarm-Anzeige, Rollen-Umschalter und Live-Anlagenliste. Alle Werte sind statisch im Code hinterlegt oder simuliert: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Keine Verbindung zu realen Sensoren, Reglern oder einem Leitsystem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Kein Backend, keine Datenbank, keine Datenhistorie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Rollen-Umschalter filtert nur die Oberfläche, keine echte Zugriffskontrolle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Alarme, Messwerte und Schalthistorie sind feste Beispieldaten</w:t>
      </w:r>
    </w:p>
    <w:p>
      <w:pPr>
        <w:spacing w:after="160" w:line="300"/>
      </w:pPr>
      <w:r>
        <w:rPr>
          <w:rFonts w:ascii="Calibri" w:cs="Calibri" w:eastAsia="Calibri" w:hAnsi="Calibri"/>
          <w:i w:val="false"/>
          <w:iCs w:val="false"/>
          <w:color w:val="222222"/>
          <w:sz w:val="21"/>
          <w:szCs w:val="21"/>
        </w:rPr>
        <w:t xml:space="preserve">Der Wert der Demo liegt aktuell in der Oberfläche und im Konzept (vier Nutzerebenen, Informationsarchitektur), nicht in der Datenanbindung.</w:t>
      </w:r>
    </w:p>
    <w:p>
      <w:pPr>
        <w:pStyle w:val="Heading1"/>
        <w:pBdr>
          <w:bottom w:val="single" w:color="B5822F" w:sz="6" w:space="6"/>
        </w:pBdr>
        <w:spacing w:after="180" w:before="420"/>
      </w:pPr>
      <w:r>
        <w:rPr>
          <w:rFonts w:ascii="Georgia" w:cs="Georgia" w:eastAsia="Georgia" w:hAnsi="Georgia"/>
          <w:b/>
          <w:bCs/>
          <w:color w:val="0A1F44"/>
          <w:sz w:val="30"/>
          <w:szCs w:val="30"/>
        </w:rPr>
        <w:t xml:space="preserve">3. Zielbild (Vollversion)</w:t>
      </w:r>
    </w:p>
    <w:p>
      <w:pPr>
        <w:spacing w:after="160" w:line="300"/>
      </w:pPr>
      <w:r>
        <w:rPr>
          <w:rFonts w:ascii="Calibri" w:cs="Calibri" w:eastAsia="Calibri" w:hAnsi="Calibri"/>
          <w:i w:val="false"/>
          <w:iCs w:val="false"/>
          <w:color w:val="222222"/>
          <w:sz w:val="21"/>
          <w:szCs w:val="21"/>
        </w:rPr>
        <w:t xml:space="preserve">Ziel ist ein mandantenfähiges SaaS-Produkt, das reale Anlagendaten aus einem oder mehreren Gebäuden erfasst, historisiert, überwacht und den vier bestehenden Dashboard-Ebenen zuführt – mit echter Nutzer-, Alarm- und Rechteverwaltung. Die bestehende Oberfläche bleibt weitgehend die Ziel-UI; ausgetauscht werden die Datenquelle (Backend statt Mock-Arrays) und die Absicherung (echtes Auth statt UI-Filter).</w:t>
      </w:r>
    </w:p>
    <w:p>
      <w:pPr>
        <w:pStyle w:val="Heading1"/>
        <w:pBdr>
          <w:bottom w:val="single" w:color="B5822F" w:sz="6" w:space="6"/>
        </w:pBdr>
        <w:spacing w:after="180" w:before="420"/>
      </w:pPr>
      <w:r>
        <w:rPr>
          <w:rFonts w:ascii="Georgia" w:cs="Georgia" w:eastAsia="Georgia" w:hAnsi="Georgia"/>
          <w:b/>
          <w:bCs/>
          <w:color w:val="0A1F44"/>
          <w:sz w:val="30"/>
          <w:szCs w:val="30"/>
        </w:rPr>
        <w:t xml:space="preserve">4. Funktionale Anforderungen</w:t>
      </w:r>
    </w:p>
    <w:p>
      <w:pPr>
        <w:pStyle w:val="Heading2"/>
        <w:spacing w:after="120" w:before="320"/>
      </w:pPr>
      <w:r>
        <w:rPr>
          <w:rFonts w:ascii="Georgia" w:cs="Georgia" w:eastAsia="Georgia" w:hAnsi="Georgia"/>
          <w:b/>
          <w:bCs/>
          <w:color w:val="0A1F44"/>
          <w:sz w:val="24"/>
          <w:szCs w:val="24"/>
        </w:rPr>
        <w:t xml:space="preserve">4.1 Anlagenanbindung &amp; Datenerfassung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Protokoll-Connectoren für mind. ein Feldbus-/Automationsprotokoll (BACnet/IP, Modbus TCP/RTU, OPC-UA, KNX oder M-Bus je nach Zielgebäude)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Alternativ: Integration gegen die API eines bestehenden Leitsystems (z. B. Niagara/Tridium, Desigo CC, Priva), falls im Zielgebäude vorhanden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Vor-Ort-Gateway/Industrie-PC zur Übersetzung von Feldbus auf IP, falls Anlage nicht bereits IP-fähig ist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Konfigurierbares Mapping: physischer Messpunkt ↔ Datenpunkt im System (pro Gebäude individuell)</w:t>
      </w:r>
    </w:p>
    <w:p>
      <w:pPr>
        <w:pStyle w:val="Heading2"/>
        <w:spacing w:after="120" w:before="320"/>
      </w:pPr>
      <w:r>
        <w:rPr>
          <w:rFonts w:ascii="Georgia" w:cs="Georgia" w:eastAsia="Georgia" w:hAnsi="Georgia"/>
          <w:b/>
          <w:bCs/>
          <w:color w:val="0A1F44"/>
          <w:sz w:val="24"/>
          <w:szCs w:val="24"/>
        </w:rPr>
        <w:t xml:space="preserve">4.2 Datenhaltung &amp; Historisierung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Zeitreihen-Datenbank für Messwerte (z. B. InfluxDB oder TimescaleDB)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Aggregation für Tages-/Wochen-/Monatsansichten (löst die aktuell zufällig generierten Kurven in „Analytisch“ ab)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Datenretention/-archivierung nach Kundenanforderung (z. B. 2–5 Jahre für Energie-Reporting)</w:t>
      </w:r>
    </w:p>
    <w:p>
      <w:pPr>
        <w:pStyle w:val="Heading2"/>
        <w:spacing w:after="120" w:before="320"/>
      </w:pPr>
      <w:r>
        <w:rPr>
          <w:rFonts w:ascii="Georgia" w:cs="Georgia" w:eastAsia="Georgia" w:hAnsi="Georgia"/>
          <w:b/>
          <w:bCs/>
          <w:color w:val="0A1F44"/>
          <w:sz w:val="24"/>
          <w:szCs w:val="24"/>
        </w:rPr>
        <w:t xml:space="preserve">4.3 Alarmierung &amp; Benachrichtigung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Regel-Engine für Schwellwert- und Zustandsalarme je Messpunkt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Eskalationsstufen (Warnung → Kritisch → Eskalation an zweite Person)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Push-/E-Mail-/SMS-Versand, konfigurierbar pro Nutzer/Rolle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Quittierung mit Nutzer- und Zeitstempel (echte Schalthistorie statt Beispieldaten)</w:t>
      </w:r>
    </w:p>
    <w:p>
      <w:pPr>
        <w:pStyle w:val="Heading2"/>
        <w:spacing w:after="120" w:before="320"/>
      </w:pPr>
      <w:r>
        <w:rPr>
          <w:rFonts w:ascii="Georgia" w:cs="Georgia" w:eastAsia="Georgia" w:hAnsi="Georgia"/>
          <w:b/>
          <w:bCs/>
          <w:color w:val="0A1F44"/>
          <w:sz w:val="24"/>
          <w:szCs w:val="24"/>
        </w:rPr>
        <w:t xml:space="preserve">4.4 Benutzer- &amp; Rechteverwaltung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Echte Authentifizierung (Login, Passwort-Reset, optional SSO/SAML/OIDC für Großkunden)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Rollen serverseitig durchgesetzt, nicht nur UI-Filter: Bediener, Energiebeauftragter, Facility Manager, Administrator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Zuordnung Nutzer ↔ Gebäude/Anlage (ein Nutzer sieht nur seine freigegebenen Standorte)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Audit-Log für sicherheitsrelevante Aktionen (Login, Quittierung, Sollwertänderung)</w:t>
      </w:r>
    </w:p>
    <w:p>
      <w:pPr>
        <w:pStyle w:val="Heading2"/>
        <w:spacing w:after="120" w:before="320"/>
      </w:pPr>
      <w:r>
        <w:rPr>
          <w:rFonts w:ascii="Georgia" w:cs="Georgia" w:eastAsia="Georgia" w:hAnsi="Georgia"/>
          <w:b/>
          <w:bCs/>
          <w:color w:val="0A1F44"/>
          <w:sz w:val="24"/>
          <w:szCs w:val="24"/>
        </w:rPr>
        <w:t xml:space="preserve">4.5 Reporting &amp; Export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PDF-/Excel-Export für die Strategisch-Ebene (OEE, CO₂, Energiekosten) aus echten Daten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Planbare/wiederkehrende Reports (z. B. monatlicher Energiebericht per E-Mail)</w:t>
      </w:r>
    </w:p>
    <w:p>
      <w:pPr>
        <w:pStyle w:val="Heading2"/>
        <w:spacing w:after="120" w:before="320"/>
      </w:pPr>
      <w:r>
        <w:rPr>
          <w:rFonts w:ascii="Georgia" w:cs="Georgia" w:eastAsia="Georgia" w:hAnsi="Georgia"/>
          <w:b/>
          <w:bCs/>
          <w:color w:val="0A1F44"/>
          <w:sz w:val="24"/>
          <w:szCs w:val="24"/>
        </w:rPr>
        <w:t xml:space="preserve">4.6 Mandantenfähigkeit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Datenmodell: Mandant → Gebäude → Anlage → Messpunkt (statt der vier fest verdrahteten Objekte im aktuellen Demo-Code)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Strikte Datentrennung zwischen Kunden/Mandanten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Self-Service-Onboarding oder begleitetes Setup, je nach Zielkundensegment</w:t>
      </w:r>
    </w:p>
    <w:p>
      <w:pPr>
        <w:pStyle w:val="Heading1"/>
        <w:pBdr>
          <w:bottom w:val="single" w:color="B5822F" w:sz="6" w:space="6"/>
        </w:pBdr>
        <w:spacing w:after="180" w:before="420"/>
      </w:pPr>
      <w:r>
        <w:rPr>
          <w:rFonts w:ascii="Georgia" w:cs="Georgia" w:eastAsia="Georgia" w:hAnsi="Georgia"/>
          <w:b/>
          <w:bCs/>
          <w:color w:val="0A1F44"/>
          <w:sz w:val="30"/>
          <w:szCs w:val="30"/>
        </w:rPr>
        <w:t xml:space="preserve">5. Nicht-funktionale Anforderungen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Sicherheit: Netzwerktrennung zwischen IT (Dashboard/Cloud) und OT (Gebäudeautomation) — kein direkter Durchgriff aus dem Internet auf Feldgeräte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Datenschutz: DSGVO-konforme Verarbeitung, insbesondere bei Nutzer- und Standortdaten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Verfügbarkeit: SLA-fähige Infrastruktur, sobald Kunden sich auf „Live“-Daten verlassen (Monitoring, Redundanz, Backups)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Skalierbarkeit: Architektur muss mehrere hundert Messpunkte pro Gebäude und mehrere hundert Gebäude pro Mandant tragen können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Wartbarkeit: Protokoll-Connectoren als austauschbare Module, damit neue Feldbusse ohne Kernumbau ergänzbar sind</w:t>
      </w:r>
    </w:p>
    <w:p>
      <w:pPr>
        <w:pStyle w:val="Heading1"/>
        <w:pBdr>
          <w:bottom w:val="single" w:color="B5822F" w:sz="6" w:space="6"/>
        </w:pBdr>
        <w:spacing w:after="180" w:before="420"/>
      </w:pPr>
      <w:r>
        <w:rPr>
          <w:rFonts w:ascii="Georgia" w:cs="Georgia" w:eastAsia="Georgia" w:hAnsi="Georgia"/>
          <w:b/>
          <w:bCs/>
          <w:color w:val="0A1F44"/>
          <w:sz w:val="30"/>
          <w:szCs w:val="30"/>
        </w:rPr>
        <w:t xml:space="preserve">6. Architektur-Überblick</w:t>
      </w:r>
    </w:p>
    <w:p>
      <w:pPr>
        <w:spacing w:after="160" w:line="300"/>
      </w:pPr>
      <w:r>
        <w:rPr>
          <w:rFonts w:ascii="Calibri" w:cs="Calibri" w:eastAsia="Calibri" w:hAnsi="Calibri"/>
          <w:i w:val="false"/>
          <w:iCs w:val="false"/>
          <w:color w:val="222222"/>
          <w:sz w:val="21"/>
          <w:szCs w:val="21"/>
        </w:rPr>
        <w:t xml:space="preserve">Grober Schichtenaufbau von der Anlage bis zur bestehenden Oberfläche: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Feldebene: Sensoren, Regler, Zähler in der Anlage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Gateway-Ebene: Vor-Ort-Gerät, das Feldbus auf IP/MQTT übersetzt und an die Cloud sendet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Ingestion/API-Ebene: nimmt Daten entgegen, validiert, schreibt in die Zeitreihen-Datenbank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Anwendungs-Backend: Geschäftslogik, Alarm-Engine, Nutzer-/Rechteverwaltung, REST/GraphQL-API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Frontend: bestehendes Dashboard-UI (Übersicht, Operativ, Analytisch, System &amp; Anlagen, Strategisch) — wird weitgehend wiederverwendet, nur an echte API statt Mock-Daten angebunden</w:t>
      </w:r>
    </w:p>
    <w:p>
      <w:pPr>
        <w:pStyle w:val="Heading1"/>
        <w:pBdr>
          <w:bottom w:val="single" w:color="B5822F" w:sz="6" w:space="6"/>
        </w:pBdr>
        <w:spacing w:after="180" w:before="420"/>
      </w:pPr>
      <w:r>
        <w:rPr>
          <w:rFonts w:ascii="Georgia" w:cs="Georgia" w:eastAsia="Georgia" w:hAnsi="Georgia"/>
          <w:b/>
          <w:bCs/>
          <w:color w:val="0A1F44"/>
          <w:sz w:val="30"/>
          <w:szCs w:val="30"/>
        </w:rPr>
        <w:t xml:space="preserve">7. Build vs. Buy</w:t>
      </w:r>
    </w:p>
    <w:p>
      <w:pPr>
        <w:spacing w:after="160" w:line="300"/>
      </w:pPr>
      <w:r>
        <w:rPr>
          <w:rFonts w:ascii="Calibri" w:cs="Calibri" w:eastAsia="Calibri" w:hAnsi="Calibri"/>
          <w:i w:val="false"/>
          <w:iCs w:val="false"/>
          <w:color w:val="222222"/>
          <w:sz w:val="21"/>
          <w:szCs w:val="21"/>
        </w:rPr>
        <w:t xml:space="preserve">Nicht jede Schicht muss selbst gebaut werden. Bestehende IoT-/Automations-Plattformen (z. B. ThingsBoard, Ubidots) bieten Ingestion, Zeitreihenspeicher, Regel-Engine und teils Protokoll-Connectoren bereits fertig an und lassen sich als Unterbau nutzen, während die bestehende MSR_DELUXE-Oberfläche als eigenständiges Frontend darübergelegt wird. Das senkt Aufwand und Risiko in Phase 1–2 deutlich, schränkt aber langfristig Flexibilität und Marge ein (Lizenzkosten der Plattform). Diese Entscheidung sollte in Phase 0 (Scoping) getroffen werden.</w:t>
      </w:r>
    </w:p>
    <w:p>
      <w:pPr>
        <w:pStyle w:val="Heading1"/>
        <w:pBdr>
          <w:bottom w:val="single" w:color="B5822F" w:sz="6" w:space="6"/>
        </w:pBdr>
        <w:spacing w:after="180" w:before="420"/>
      </w:pPr>
      <w:r>
        <w:rPr>
          <w:rFonts w:ascii="Georgia" w:cs="Georgia" w:eastAsia="Georgia" w:hAnsi="Georgia"/>
          <w:b/>
          <w:bCs/>
          <w:color w:val="0A1F44"/>
          <w:sz w:val="30"/>
          <w:szCs w:val="30"/>
        </w:rPr>
        <w:t xml:space="preserve">8. Roadmap / Phasenplan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600"/>
        <w:gridCol w:w="4500"/>
        <w:gridCol w:w="2200"/>
      </w:tblGrid>
      <w:tr>
        <w:trPr>
          <w:tblHeader/>
        </w:trPr>
        <w:tc>
          <w:tcPr>
            <w:tcW w:type="dxa" w:w="1500"/>
            <w:shd w:fill="0A1F44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Phase</w:t>
            </w:r>
          </w:p>
        </w:tc>
        <w:tc>
          <w:tcPr>
            <w:tcW w:type="dxa" w:w="2600"/>
            <w:shd w:fill="0A1F44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Dauer</w:t>
            </w:r>
          </w:p>
        </w:tc>
        <w:tc>
          <w:tcPr>
            <w:tcW w:type="dxa" w:w="4500"/>
            <w:shd w:fill="0A1F44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Inhalt</w:t>
            </w:r>
          </w:p>
        </w:tc>
        <w:tc>
          <w:tcPr>
            <w:tcW w:type="dxa" w:w="2200"/>
            <w:shd w:fill="0A1F44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Kosten (ca.)</w:t>
            </w:r>
          </w:p>
        </w:tc>
      </w:tr>
      <w:tr>
        <w:tc>
          <w:tcPr>
            <w:tcW w:type="dxa" w:w="1500"/>
            <w:shd w:fill="F4F2EC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Phase 0
Scoping</w:t>
            </w:r>
          </w:p>
        </w:tc>
        <w:tc>
          <w:tcPr>
            <w:tcW w:type="dxa" w:w="2600"/>
            <w:shd w:fill="F4F2EC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2–4 Wochen</w:t>
            </w:r>
          </w:p>
        </w:tc>
        <w:tc>
          <w:tcPr>
            <w:tcW w:type="dxa" w:w="4500"/>
            <w:shd w:fill="F4F2EC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Zielkundensegment festlegen, Pilotgebäude auswählen, vorhandene Protokolle/Leitsystem vor Ort erfassen, Build-vs-Buy-Entscheidung, Lastenheft verfeinern.</w:t>
            </w:r>
          </w:p>
        </w:tc>
        <w:tc>
          <w:tcPr>
            <w:tcW w:type="dxa" w:w="2200"/>
            <w:shd w:fill="F4F2EC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5.000 € – 12.000 €</w:t>
            </w:r>
          </w:p>
        </w:tc>
      </w:tr>
      <w:tr>
        <w:tc>
          <w:tcPr>
            <w:tcW w:type="dxa" w:w="15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Phase 1
Pilot / PoC</w:t>
            </w:r>
          </w:p>
        </w:tc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2–4 Monate</w:t>
            </w:r>
          </w:p>
        </w:tc>
        <w:tc>
          <w:tcPr>
            <w:tcW w:type="dxa" w:w="45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Ein Gebäude, ein Protokoll (z. B. Modbus TCP oder BACnet/IP) real anbinden. Zeitreihen-Datenbank, einfaches Backend, echte Werte statt Mock-Daten in „Operativ“. Einfache Schwellwert-Alarme, ein Mandant.</w:t>
            </w:r>
          </w:p>
        </w:tc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30.000 € – 80.000 €</w:t>
            </w:r>
          </w:p>
        </w:tc>
      </w:tr>
      <w:tr>
        <w:tc>
          <w:tcPr>
            <w:tcW w:type="dxa" w:w="1500"/>
            <w:shd w:fill="F4F2EC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Phase 2
Produktreifes MVP</w:t>
            </w:r>
          </w:p>
        </w:tc>
        <w:tc>
          <w:tcPr>
            <w:tcW w:type="dxa" w:w="2600"/>
            <w:shd w:fill="F4F2EC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3–5 Monate</w:t>
            </w:r>
          </w:p>
        </w:tc>
        <w:tc>
          <w:tcPr>
            <w:tcW w:type="dxa" w:w="4500"/>
            <w:shd w:fill="F4F2EC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Mandantenfähiges Datenmodell, echte Authentifizierung &amp; Rollen (Backend-durchgesetzt), Alarm-Engine mit Eskalation und Push/E-Mail, zweites Protokoll ergänzen, PDF/Excel-Reporting.</w:t>
            </w:r>
          </w:p>
        </w:tc>
        <w:tc>
          <w:tcPr>
            <w:tcW w:type="dxa" w:w="2200"/>
            <w:shd w:fill="F4F2EC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150.000 € – 400.000 €</w:t>
            </w:r>
          </w:p>
        </w:tc>
      </w:tr>
      <w:tr>
        <w:tc>
          <w:tcPr>
            <w:tcW w:type="dxa" w:w="15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Phase 3
Skalierung / Enterprise</w:t>
            </w:r>
          </w:p>
        </w:tc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laufend</w:t>
            </w:r>
          </w:p>
        </w:tc>
        <w:tc>
          <w:tcPr>
            <w:tcW w:type="dxa" w:w="45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Weitere Protokolle (KNX, OPC-UA, M-Bus), On-Premise-Option, SSO/Enterprise-Auth, Audit-Log, SLA-fähige Infrastruktur, Sicherheitsprüfung (z. B. IEC 62443).</w:t>
            </w:r>
          </w:p>
        </w:tc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nach Aufwand / Kunde</w:t>
            </w:r>
          </w:p>
        </w:tc>
      </w:tr>
    </w:tbl>
    <w:p>
      <w:pPr>
        <w:spacing w:after="200" w:before="200"/>
      </w:pPr>
      <w:r>
        <w:rPr>
          <w:rFonts w:ascii="Calibri" w:cs="Calibri" w:eastAsia="Calibri" w:hAnsi="Calibri"/>
          <w:i/>
          <w:iCs/>
          <w:color w:val="5A6B8C"/>
          <w:sz w:val="19"/>
          <w:szCs w:val="19"/>
        </w:rPr>
        <w:t xml:space="preserve">Kostenschätzungen sind grobe, an vergleichbaren B2B-SaaS-/IoT-Projekten orientierte Richtwerte für ein kleines bis mittleres Entwicklerteam (EU-Rahmen) — keine verbindliche Kalkulation. Eine belastbare Zahl setzt die Scoping-Phase voraus.</w:t>
      </w:r>
    </w:p>
    <w:p>
      <w:pPr>
        <w:pStyle w:val="Heading1"/>
        <w:pBdr>
          <w:bottom w:val="single" w:color="B5822F" w:sz="6" w:space="6"/>
        </w:pBdr>
        <w:spacing w:after="180" w:before="420"/>
      </w:pPr>
      <w:r>
        <w:rPr>
          <w:rFonts w:ascii="Georgia" w:cs="Georgia" w:eastAsia="Georgia" w:hAnsi="Georgia"/>
          <w:b/>
          <w:bCs/>
          <w:color w:val="0A1F44"/>
          <w:sz w:val="30"/>
          <w:szCs w:val="30"/>
        </w:rPr>
        <w:t xml:space="preserve">9. Risiken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IT/OT-Sicherheit: Anbindung an Gebäudeautomation ist ein reales Angriffsflächen-Thema, nicht nur Software-Feature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Heterogenität: jedes Gebäude hat andere Regler/Konfiguration — Integrationsaufwand pro Standort ist schwer zu pauschalisieren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Haftung: MSR-Technik hängt an realer Heizung/Kälte/Lüftung — fehlerhafte Alarmlogik kann echten Schaden verursachen; sauberes Testing und ggf. Versicherung/Haftungsausschluss nötig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Time-to-value: bis zu echten, zahlenden Kunden mit Phase 2 vergehen realistisch 6–9 Monate ab Start</w:t>
      </w:r>
    </w:p>
    <w:p>
      <w:pPr>
        <w:pStyle w:val="Heading1"/>
        <w:pBdr>
          <w:bottom w:val="single" w:color="B5822F" w:sz="6" w:space="6"/>
        </w:pBdr>
        <w:spacing w:after="180" w:before="420"/>
      </w:pPr>
      <w:r>
        <w:rPr>
          <w:rFonts w:ascii="Georgia" w:cs="Georgia" w:eastAsia="Georgia" w:hAnsi="Georgia"/>
          <w:b/>
          <w:bCs/>
          <w:color w:val="0A1F44"/>
          <w:sz w:val="30"/>
          <w:szCs w:val="30"/>
        </w:rPr>
        <w:t xml:space="preserve">10. Kostenrahmen – Vollversion (Verkaufspreise)</w:t>
      </w:r>
    </w:p>
    <w:p>
      <w:pPr>
        <w:spacing w:after="160" w:line="300"/>
      </w:pPr>
      <w:r>
        <w:rPr>
          <w:rFonts w:ascii="Calibri" w:cs="Calibri" w:eastAsia="Calibri" w:hAnsi="Calibri"/>
          <w:i w:val="false"/>
          <w:iCs w:val="false"/>
          <w:color w:val="222222"/>
          <w:sz w:val="21"/>
          <w:szCs w:val="21"/>
        </w:rPr>
        <w:t xml:space="preserve">Zur Einordnung, was die fertige Vollversion – nach Umsetzung obiger Phasen – bei Kunden erzielen könnte: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2400"/>
        <w:gridCol w:w="2800"/>
      </w:tblGrid>
      <w:tr>
        <w:trPr>
          <w:tblHeader/>
        </w:trPr>
        <w:tc>
          <w:tcPr>
            <w:tcW w:type="dxa" w:w="4200"/>
            <w:shd w:fill="0A1F44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Modell</w:t>
            </w:r>
          </w:p>
        </w:tc>
        <w:tc>
          <w:tcPr>
            <w:tcW w:type="dxa" w:w="2400"/>
            <w:shd w:fill="0A1F44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Typ</w:t>
            </w:r>
          </w:p>
        </w:tc>
        <w:tc>
          <w:tcPr>
            <w:tcW w:type="dxa" w:w="2800"/>
            <w:shd w:fill="0A1F44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Preis</w:t>
            </w:r>
          </w:p>
        </w:tc>
      </w:tr>
      <w:tr>
        <w:tc>
          <w:tcPr>
            <w:tcW w:type="dxa" w:w="4200"/>
            <w:shd w:fill="F4F2EC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SaaS-Abo pro Standort/Gebäude</w:t>
            </w:r>
          </w:p>
        </w:tc>
        <w:tc>
          <w:tcPr>
            <w:tcW w:type="dxa" w:w="2400"/>
            <w:shd w:fill="F4F2EC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Jahresabo</w:t>
            </w:r>
          </w:p>
        </w:tc>
        <w:tc>
          <w:tcPr>
            <w:tcW w:type="dxa" w:w="2800"/>
            <w:shd w:fill="F4F2EC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1.200 € – 6.000 €/Jahr</w:t>
            </w:r>
          </w:p>
        </w:tc>
      </w:tr>
      <w:tr>
        <w:tc>
          <w:tcPr>
            <w:tcW w:type="dxa" w:w="4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Enterprise/Portfolio (mehrere Gebäude)</w:t>
            </w:r>
          </w:p>
        </w:tc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Jahresabo</w:t>
            </w:r>
          </w:p>
        </w:tc>
        <w:tc>
          <w:tcPr>
            <w:tcW w:type="dxa" w:w="28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5.000 € – 50.000+ €/Jahr</w:t>
            </w:r>
          </w:p>
        </w:tc>
      </w:tr>
      <w:tr>
        <w:tc>
          <w:tcPr>
            <w:tcW w:type="dxa" w:w="4200"/>
            <w:shd w:fill="F4F2EC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On-Premise-Lizenz</w:t>
            </w:r>
          </w:p>
        </w:tc>
        <w:tc>
          <w:tcPr>
            <w:tcW w:type="dxa" w:w="2400"/>
            <w:shd w:fill="F4F2EC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Einmalig + Wartung</w:t>
            </w:r>
          </w:p>
        </w:tc>
        <w:tc>
          <w:tcPr>
            <w:tcW w:type="dxa" w:w="2800"/>
            <w:shd w:fill="F4F2EC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10.000 € – 60.000 € + 15–20 %/Jahr</w:t>
            </w:r>
          </w:p>
        </w:tc>
      </w:tr>
      <w:tr>
        <w:tc>
          <w:tcPr>
            <w:tcW w:type="dxa" w:w="4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Einrichtung pro Standort</w:t>
            </w:r>
          </w:p>
        </w:tc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Einmalig</w:t>
            </w:r>
          </w:p>
        </w:tc>
        <w:tc>
          <w:tcPr>
            <w:tcW w:type="dxa" w:w="28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2.000 € – 15.000 €</w:t>
            </w:r>
          </w:p>
        </w:tc>
      </w:tr>
    </w:tbl>
    <w:p>
      <w:pPr>
        <w:pStyle w:val="Heading1"/>
        <w:pBdr>
          <w:bottom w:val="single" w:color="B5822F" w:sz="6" w:space="6"/>
        </w:pBdr>
        <w:spacing w:after="180" w:before="420"/>
      </w:pPr>
      <w:r>
        <w:rPr>
          <w:rFonts w:ascii="Georgia" w:cs="Georgia" w:eastAsia="Georgia" w:hAnsi="Georgia"/>
          <w:b/>
          <w:bCs/>
          <w:color w:val="0A1F44"/>
          <w:sz w:val="30"/>
          <w:szCs w:val="30"/>
        </w:rPr>
        <w:t xml:space="preserve">11. Offene Entscheidungen / Nächste Schritte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Zielkundensegment festlegen: einzelne Facility Manager, Hausverwaltungen mit Portfolio, oder Energieberater als Wiederverkäufer?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Pilotgebäude bestimmen und vor Ort vorhandene Protokolle/Leitsystem erfassen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Build-vs-Buy-Entscheidung für die Backend-/IoT-Plattform treffen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Cloud- oder On-Premise-Ersteinsatz festlegen (abhängig vom ersten Zielkunden)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Budget und Team für Phase 0–1 freigeben</w:t>
      </w:r>
    </w:p>
    <w:sectPr>
      <w:pgSz w:w="11906" w:h="16838" w:orient="portrait"/>
      <w:pgMar w:top="1100" w:right="1200" w:bottom="11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60"/>
      </w:pPr>
    </w:lvl>
    <w:lvl w:ilvl="1" w15:tentative="1">
      <w:start w:val="1"/>
      <w:numFmt w:val="bullet"/>
      <w:lvlText w:val="◦"/>
      <w:lvlJc w:val="left"/>
      <w:pPr>
        <w:ind w:left="8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22222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2026-08-06T08:47:02.330Z</dcterms:created>
  <dcterms:modified xsi:type="dcterms:W3CDTF">2026-08-06T08:47:02.330Z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