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A5C46"/>
        </w:rPr>
        <w:t xml:space="preserve">Auftragsverarbeitungsvertrag (AVV)</w:t>
      </w:r>
    </w:p>
    <w:p>
      <w:pPr>
        <w:spacing w:after="300"/>
      </w:pPr>
      <w:r>
        <w:rPr>
          <w:i/>
          <w:iCs/>
          <w:color w:val="5B8577"/>
        </w:rPr>
        <w:t xml:space="preserve">gemäß Art. 28 DSGVO — zur Nutzung von Pharma-Tech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8C560" w:sz="4"/>
              <w:left w:val="single" w:color="E8C560" w:sz="4"/>
              <w:bottom w:val="single" w:color="E8C560" w:sz="4"/>
              <w:right w:val="single" w:color="E8C560" w:sz="4"/>
            </w:tcBorders>
            <w:shd w:fill="FFF3D6" w:val="clear"/>
            <w:tcMar>
              <w:top w:type="dxa" w:w="200"/>
              <w:left w:type="dxa" w:w="200"/>
              <w:bottom w:type="dxa" w:w="200"/>
              <w:right w:type="dxa" w:w="200"/>
            </w:tcMar>
          </w:tcPr>
          <w:p>
            <w:r>
              <w:rPr>
                <w:b/>
                <w:bCs/>
                <w:color w:val="9A6B00"/>
              </w:rPr>
              <w:t xml:space="preserve">⚠ Wichtiger Hinweis</w:t>
            </w:r>
          </w:p>
          <w:p>
            <w:pPr>
              <w:spacing w:before="100"/>
            </w:pPr>
            <w:r>
              <w:rPr>
                <w:color w:val="6B5000"/>
              </w:rPr>
              <w:t xml:space="preserve">Diese Vorlage dient der Orientierung und ersetzt keine Rechtsberatung. Da hier Gesundheitsdaten (Art. 9 DSGVO, besondere Kategorie personenbezogener Daten) verarbeitet werden, empfehlen wir dringend, diesen Vertrag vor Verwendung von einer auf Datenschutz-/IT-Recht spezialisierten Kanzlei prüfen zu lassen. Alle unterstrichenen Felder sind vor Unterzeichnung auszufüllen.</w:t>
            </w:r>
          </w:p>
        </w:tc>
      </w:tr>
    </w:tbl>
    <w:p>
      <w:pPr>
        <w:spacing w:before="360"/>
      </w:pPr>
      <w:r>
        <w:rPr>
          <w:i/>
          <w:iCs/>
        </w:rPr>
        <w:t xml:space="preserve">zwischen</w:t>
      </w:r>
    </w:p>
    <w:p>
      <w:pPr>
        <w:spacing w:before="200"/>
      </w:pPr>
      <w:r>
        <w:rPr>
          <w:b/>
          <w:bCs/>
        </w:rPr>
        <w:t xml:space="preserve">(1) Verantwortlicher im Sinne des Art. 4 Nr. 7 DSGVO</w:t>
      </w:r>
    </w:p>
    <w:p>
      <w:pPr>
        <w:spacing w:after="160"/>
      </w:pPr>
      <w:r>
        <w:rPr>
          <w:b/>
          <w:bCs/>
        </w:rPr>
        <w:t xml:space="preserve">Name der Apotheke: </w:t>
      </w:r>
      <w:r>
        <w:rPr>
          <w:u w:val="single"/>
        </w:rPr>
        <w:t xml:space="preserve">              </w:t>
      </w:r>
    </w:p>
    <w:p>
      <w:pPr>
        <w:spacing w:after="160"/>
      </w:pPr>
      <w:r>
        <w:rPr>
          <w:b/>
          <w:bCs/>
        </w:rPr>
        <w:t xml:space="preserve">Straße, Hausnummer: </w:t>
      </w:r>
      <w:r>
        <w:rPr>
          <w:u w:val="single"/>
        </w:rPr>
        <w:t xml:space="preserve">              </w:t>
      </w:r>
    </w:p>
    <w:p>
      <w:pPr>
        <w:spacing w:after="160"/>
      </w:pPr>
      <w:r>
        <w:rPr>
          <w:b/>
          <w:bCs/>
        </w:rPr>
        <w:t xml:space="preserve">PLZ, Ort: </w:t>
      </w:r>
      <w:r>
        <w:rPr>
          <w:u w:val="single"/>
        </w:rPr>
        <w:t xml:space="preserve">              </w:t>
      </w:r>
    </w:p>
    <w:p>
      <w:pPr>
        <w:spacing w:after="160"/>
      </w:pPr>
      <w:r>
        <w:rPr>
          <w:b/>
          <w:bCs/>
        </w:rPr>
        <w:t xml:space="preserve">Vertreten durch: </w:t>
      </w:r>
      <w:r>
        <w:rPr>
          <w:u w:val="single"/>
        </w:rPr>
        <w:t xml:space="preserve">              </w:t>
      </w:r>
    </w:p>
    <w:p>
      <w:pPr>
        <w:spacing w:after="160"/>
      </w:pPr>
      <w:r>
        <w:rPr>
          <w:i/>
          <w:iCs/>
          <w:color w:val="5B8577"/>
        </w:rPr>
        <w:t xml:space="preserve">— im Folgenden "Verantwortlicher" —</w:t>
      </w:r>
    </w:p>
    <w:p>
      <w:pPr>
        <w:spacing w:before="200"/>
      </w:pPr>
      <w:r>
        <w:rPr>
          <w:i/>
          <w:iCs/>
        </w:rPr>
        <w:t xml:space="preserve">und</w:t>
      </w:r>
    </w:p>
    <w:p>
      <w:pPr>
        <w:spacing w:before="200"/>
      </w:pPr>
      <w:r>
        <w:rPr>
          <w:b/>
          <w:bCs/>
        </w:rPr>
        <w:t xml:space="preserve">(2) Auftragsverarbeiter im Sinne des Art. 4 Nr. 8 DSGVO</w:t>
      </w:r>
    </w:p>
    <w:p>
      <w:pPr>
        <w:spacing w:after="160"/>
      </w:pPr>
      <w:r>
        <w:rPr>
          <w:b/>
          <w:bCs/>
        </w:rPr>
        <w:t xml:space="preserve">Firma / Name: </w:t>
      </w:r>
      <w:r>
        <w:rPr>
          <w:u w:val="single"/>
        </w:rPr>
        <w:t xml:space="preserve">              </w:t>
      </w:r>
    </w:p>
    <w:p>
      <w:pPr>
        <w:spacing w:after="160"/>
      </w:pPr>
      <w:r>
        <w:rPr>
          <w:b/>
          <w:bCs/>
        </w:rPr>
        <w:t xml:space="preserve">Straße, Hausnummer: </w:t>
      </w:r>
      <w:r>
        <w:rPr>
          <w:u w:val="single"/>
        </w:rPr>
        <w:t xml:space="preserve">              </w:t>
      </w:r>
    </w:p>
    <w:p>
      <w:pPr>
        <w:spacing w:after="160"/>
      </w:pPr>
      <w:r>
        <w:rPr>
          <w:b/>
          <w:bCs/>
        </w:rPr>
        <w:t xml:space="preserve">PLZ, Ort: </w:t>
      </w:r>
      <w:r>
        <w:rPr>
          <w:u w:val="single"/>
        </w:rPr>
        <w:t xml:space="preserve">              </w:t>
      </w:r>
    </w:p>
    <w:p>
      <w:pPr>
        <w:spacing w:after="160"/>
      </w:pPr>
      <w:r>
        <w:rPr>
          <w:b/>
          <w:bCs/>
        </w:rPr>
        <w:t xml:space="preserve">Vertreten durch: </w:t>
      </w:r>
      <w:r>
        <w:rPr>
          <w:u w:val="single"/>
        </w:rPr>
        <w:t xml:space="preserve">              </w:t>
      </w:r>
    </w:p>
    <w:p>
      <w:pPr>
        <w:spacing w:after="160"/>
      </w:pPr>
      <w:r>
        <w:rPr>
          <w:i/>
          <w:iCs/>
          <w:color w:val="5B8577"/>
        </w:rPr>
        <w:t xml:space="preserve">— im Folgenden "Auftragsverarbeiter" —</w:t>
      </w:r>
    </w:p>
    <w:p>
      <w:r>
        <w:br w:type="page"/>
      </w:r>
    </w:p>
    <w:p>
      <w:pPr>
        <w:pStyle w:val="Heading1"/>
        <w:spacing w:after="160" w:before="360"/>
      </w:pPr>
      <w:r>
        <w:rPr>
          <w:b/>
          <w:bCs/>
          <w:color w:val="0A5C46"/>
        </w:rPr>
        <w:t xml:space="preserve">§ 1 Gegenstand und Dauer der Verarbeitung</w:t>
      </w:r>
    </w:p>
    <w:p>
      <w:pPr>
        <w:spacing w:after="160"/>
      </w:pPr>
      <w:r>
        <w:t xml:space="preserve">Der Auftragsverarbeiter stellt dem Verantwortlichen die Software "Pharma-Tech" (Apotheken-Betriebssystem) bereit und verarbeitet dabei im Auftrag des Verantwortlichen personenbezogene Daten gemäß den Festlegungen dieses Vertrags und der zugrunde liegenden Leistungsbeschreibung.</w:t>
      </w:r>
    </w:p>
    <w:p>
      <w:pPr>
        <w:spacing w:after="160"/>
      </w:pPr>
      <w:r>
        <w:rPr>
          <w:b/>
          <w:bCs/>
        </w:rPr>
        <w:t xml:space="preserve">Beginn der Verarbeitung (Datum): </w:t>
      </w:r>
      <w:r>
        <w:rPr>
          <w:u w:val="single"/>
        </w:rPr>
        <w:t xml:space="preserve">          </w:t>
      </w:r>
    </w:p>
    <w:p>
      <w:pPr>
        <w:spacing w:after="160"/>
      </w:pPr>
      <w:r>
        <w:t xml:space="preserve">Die Dauer dieses Vertrags entspricht der Laufzeit des zugrunde liegenden Hauptvertrags (Lizenz-/ Nutzungsvertrag über Pharma-Tech) zwischen den Parteien.</w:t>
      </w:r>
    </w:p>
    <w:p>
      <w:pPr>
        <w:pStyle w:val="Heading1"/>
        <w:spacing w:after="160" w:before="360"/>
      </w:pPr>
      <w:r>
        <w:rPr>
          <w:b/>
          <w:bCs/>
          <w:color w:val="0A5C46"/>
        </w:rPr>
        <w:t xml:space="preserve">§ 2 Art und Zweck der Verarbeitung</w:t>
      </w:r>
    </w:p>
    <w:p>
      <w:pPr>
        <w:spacing w:after="160"/>
      </w:pPr>
      <w:r>
        <w:t xml:space="preserve">Die Verarbeitung personenbezogener Daten erfolgt zum Zweck des Betriebs der Apotheken-Software Pharma-Tech, insbesondere für:</w:t>
      </w:r>
    </w:p>
    <w:p>
      <w:pPr>
        <w:pStyle w:val="ListParagraph"/>
        <w:numPr>
          <w:ilvl w:val="0"/>
          <w:numId w:val="1"/>
        </w:numPr>
        <w:spacing w:after="80"/>
      </w:pPr>
      <w:r>
        <w:t xml:space="preserve">Warenwirtschaft und Bestandsverwaltung</w:t>
      </w:r>
    </w:p>
    <w:p>
      <w:pPr>
        <w:pStyle w:val="ListParagraph"/>
        <w:numPr>
          <w:ilvl w:val="0"/>
          <w:numId w:val="1"/>
        </w:numPr>
        <w:spacing w:after="80"/>
      </w:pPr>
      <w:r>
        <w:t xml:space="preserve">Kassenführung und Verkaufsabwicklung</w:t>
      </w:r>
    </w:p>
    <w:p>
      <w:pPr>
        <w:pStyle w:val="ListParagraph"/>
        <w:numPr>
          <w:ilvl w:val="0"/>
          <w:numId w:val="1"/>
        </w:numPr>
        <w:spacing w:after="80"/>
      </w:pPr>
      <w:r>
        <w:t xml:space="preserve">Kunden- und Rezeptverwaltung, einschließlich automatischer Wechselwirkungsprüfung</w:t>
      </w:r>
    </w:p>
    <w:p>
      <w:pPr>
        <w:pStyle w:val="ListParagraph"/>
        <w:numPr>
          <w:ilvl w:val="0"/>
          <w:numId w:val="1"/>
        </w:numPr>
        <w:spacing w:after="80"/>
      </w:pPr>
      <w:r>
        <w:t xml:space="preserve">Bestellwesen und Lieferantenkommunikation</w:t>
      </w:r>
    </w:p>
    <w:p>
      <w:pPr>
        <w:pStyle w:val="ListParagraph"/>
        <w:numPr>
          <w:ilvl w:val="0"/>
          <w:numId w:val="1"/>
        </w:numPr>
        <w:spacing w:after="80"/>
      </w:pPr>
      <w:r>
        <w:t xml:space="preserve">Auswertungen und Analysen auf Filialebene</w:t>
      </w:r>
    </w:p>
    <w:p>
      <w:pPr>
        <w:pStyle w:val="ListParagraph"/>
        <w:numPr>
          <w:ilvl w:val="0"/>
          <w:numId w:val="1"/>
        </w:numPr>
        <w:spacing w:after="80"/>
      </w:pPr>
      <w:r>
        <w:t xml:space="preserve">Interne Team-Kommunikation</w:t>
      </w:r>
    </w:p>
    <w:p>
      <w:pPr>
        <w:pStyle w:val="Heading1"/>
        <w:spacing w:after="160" w:before="360"/>
      </w:pPr>
      <w:r>
        <w:rPr>
          <w:b/>
          <w:bCs/>
          <w:color w:val="0A5C46"/>
        </w:rPr>
        <w:t xml:space="preserve">§ 3 Art der personenbezogenen Daten und Kreis der Betroffenen</w:t>
      </w:r>
    </w:p>
    <w:p>
      <w:pPr>
        <w:spacing w:after="160"/>
      </w:pPr>
      <w:r>
        <w:t xml:space="preserve">Gegenstand der Verarbeitung sind folgende Datenkategorien:</w:t>
      </w:r>
    </w:p>
    <w:p>
      <w:pPr>
        <w:pStyle w:val="ListParagraph"/>
        <w:numPr>
          <w:ilvl w:val="0"/>
          <w:numId w:val="1"/>
        </w:numPr>
        <w:spacing w:after="80"/>
      </w:pPr>
      <w:r>
        <w:t xml:space="preserve">Stammdaten von Kund:innen (Name, Geburtsdatum, Kontaktdaten)</w:t>
      </w:r>
    </w:p>
    <w:p>
      <w:pPr>
        <w:pStyle w:val="ListParagraph"/>
        <w:numPr>
          <w:ilvl w:val="0"/>
          <w:numId w:val="1"/>
        </w:numPr>
        <w:spacing w:after="80"/>
      </w:pPr>
      <w:r>
        <w:t xml:space="preserve">Gesundheitsdaten gem. Art. 9 DSGVO (Rezepte, Medikationshistorie, Wechselwirkungshinweise)</w:t>
      </w:r>
    </w:p>
    <w:p>
      <w:pPr>
        <w:pStyle w:val="ListParagraph"/>
        <w:numPr>
          <w:ilvl w:val="0"/>
          <w:numId w:val="1"/>
        </w:numPr>
        <w:spacing w:after="80"/>
      </w:pPr>
      <w:r>
        <w:t xml:space="preserve">Kassen- und Bestelldaten</w:t>
      </w:r>
    </w:p>
    <w:p>
      <w:pPr>
        <w:pStyle w:val="ListParagraph"/>
        <w:numPr>
          <w:ilvl w:val="0"/>
          <w:numId w:val="1"/>
        </w:numPr>
        <w:spacing w:after="80"/>
      </w:pPr>
      <w:r>
        <w:t xml:space="preserve">Zugangsdaten und Rollen des Apothekenpersonals</w:t>
      </w:r>
    </w:p>
    <w:p>
      <w:pPr>
        <w:spacing w:after="160"/>
      </w:pPr>
      <w:r>
        <w:t xml:space="preserve">Betroffene Personengruppen sind Kund:innen der Apotheke sowie Mitarbeitende des Verantwortlichen, die mit der Software arbeiten.</w:t>
      </w:r>
    </w:p>
    <w:p>
      <w:pPr>
        <w:pStyle w:val="Heading1"/>
        <w:spacing w:after="160" w:before="360"/>
      </w:pPr>
      <w:r>
        <w:rPr>
          <w:b/>
          <w:bCs/>
          <w:color w:val="0A5C46"/>
        </w:rPr>
        <w:t xml:space="preserve">§ 4 Pflichten des Auftragsverarbeiters</w:t>
      </w:r>
    </w:p>
    <w:p>
      <w:pPr>
        <w:pStyle w:val="ListParagraph"/>
        <w:numPr>
          <w:ilvl w:val="0"/>
          <w:numId w:val="1"/>
        </w:numPr>
        <w:spacing w:after="80"/>
      </w:pPr>
      <w:r>
        <w:t xml:space="preserve">Verarbeitung ausschließlich auf dokumentierte Weisung des Verantwortlichen (Art. 28 Abs. 3 lit. a DSGVO)</w:t>
      </w:r>
    </w:p>
    <w:p>
      <w:pPr>
        <w:pStyle w:val="ListParagraph"/>
        <w:numPr>
          <w:ilvl w:val="0"/>
          <w:numId w:val="1"/>
        </w:numPr>
        <w:spacing w:after="80"/>
      </w:pPr>
      <w:r>
        <w:t xml:space="preserve">Sicherstellung, dass zur Verarbeitung befugte Personen sich zur Vertraulichkeit verpflichtet haben</w:t>
      </w:r>
    </w:p>
    <w:p>
      <w:pPr>
        <w:pStyle w:val="ListParagraph"/>
        <w:numPr>
          <w:ilvl w:val="0"/>
          <w:numId w:val="1"/>
        </w:numPr>
        <w:spacing w:after="80"/>
      </w:pPr>
      <w:r>
        <w:t xml:space="preserve">Umsetzung der technischen und organisatorischen Maßnahmen gemäß Anlage 1</w:t>
      </w:r>
    </w:p>
    <w:p>
      <w:pPr>
        <w:pStyle w:val="ListParagraph"/>
        <w:numPr>
          <w:ilvl w:val="0"/>
          <w:numId w:val="1"/>
        </w:numPr>
        <w:spacing w:after="80"/>
      </w:pPr>
      <w:r>
        <w:t xml:space="preserve">Unterstützung des Verantwortlichen bei der Erfüllung von Betroffenenrechten (Art. 15–22 DSGVO)</w:t>
      </w:r>
    </w:p>
    <w:p>
      <w:pPr>
        <w:pStyle w:val="ListParagraph"/>
        <w:numPr>
          <w:ilvl w:val="0"/>
          <w:numId w:val="1"/>
        </w:numPr>
        <w:spacing w:after="80"/>
      </w:pPr>
      <w:r>
        <w:t xml:space="preserve">Unterstützung bei Datenschutz-Folgenabschätzungen, sofern erforderlich</w:t>
      </w:r>
    </w:p>
    <w:p>
      <w:pPr>
        <w:pStyle w:val="ListParagraph"/>
        <w:numPr>
          <w:ilvl w:val="0"/>
          <w:numId w:val="1"/>
        </w:numPr>
        <w:spacing w:after="80"/>
      </w:pPr>
      <w:r>
        <w:t xml:space="preserve">Löschung oder Rückgabe aller personenbezogenen Daten nach Beendigung der Vertragsleistungen (§ 11)</w:t>
      </w:r>
    </w:p>
    <w:p>
      <w:pPr>
        <w:pStyle w:val="Heading1"/>
        <w:spacing w:after="160" w:before="360"/>
      </w:pPr>
      <w:r>
        <w:rPr>
          <w:b/>
          <w:bCs/>
          <w:color w:val="0A5C46"/>
        </w:rPr>
        <w:t xml:space="preserve">§ 5 Weisungsbefugnis des Verantwortlichen</w:t>
      </w:r>
    </w:p>
    <w:p>
      <w:pPr>
        <w:spacing w:after="160"/>
      </w:pPr>
      <w:r>
        <w:t xml:space="preserve">Der Verantwortliche erteilt Weisungen grundsätzlich schriftlich oder in Textform (z. B. E-Mail). Mündliche Weisungen sind unverzüglich schriftlich zu bestätigen. Der Auftragsverarbeiter hat den Verantwortlichen unverzüglich zu informieren, falls er der Meinung ist, eine Weisung verstoße gegen die DSGVO oder andere Datenschutzvorschriften.</w:t>
      </w:r>
    </w:p>
    <w:p>
      <w:pPr>
        <w:pStyle w:val="Heading1"/>
        <w:spacing w:after="160" w:before="360"/>
      </w:pPr>
      <w:r>
        <w:rPr>
          <w:b/>
          <w:bCs/>
          <w:color w:val="0A5C46"/>
        </w:rPr>
        <w:t xml:space="preserve">§ 6 Technische und organisatorische Maßnahmen</w:t>
      </w:r>
    </w:p>
    <w:p>
      <w:pPr>
        <w:spacing w:after="160"/>
      </w:pPr>
      <w:r>
        <w:t xml:space="preserve">Der Auftragsverarbeiter trifft die in Anlage 1 zu diesem Vertrag beschriebenen technischen und organisatorischen Maßnahmen gemäß Art. 32 DSGVO. Änderungen bedürfen eines gleichwertigen Schutzniveaus und sind dem Verantwortlichen auf Anfrage mitzuteilen.</w:t>
      </w:r>
    </w:p>
    <w:p>
      <w:pPr>
        <w:pStyle w:val="Heading1"/>
        <w:spacing w:after="160" w:before="360"/>
      </w:pPr>
      <w:r>
        <w:rPr>
          <w:b/>
          <w:bCs/>
          <w:color w:val="0A5C46"/>
        </w:rPr>
        <w:t xml:space="preserve">§ 7 Unterauftragsverarbeiter</w:t>
      </w:r>
    </w:p>
    <w:p>
      <w:pPr>
        <w:spacing w:after="160"/>
      </w:pPr>
      <w:r>
        <w:t xml:space="preserve">Der Einsatz von Unterauftragsverarbeitern (z. B. Hosting-Dienstleister) bedarf der vorherigen schriftlichen Genehmigung des Verantwortlichen. Aktuell eingesetzte Unterauftragsverarbeiter sind in Anlage 2 aufgeführt. Der Auftragsverarbeiter informiert den Verantwortlichen über beabsichtigte Änderungen mit angemessener Frist, innerhalb derer der Verantwortliche widersprechen kann.</w:t>
      </w:r>
    </w:p>
    <w:p>
      <w:pPr>
        <w:pStyle w:val="Heading1"/>
        <w:spacing w:after="160" w:before="360"/>
      </w:pPr>
      <w:r>
        <w:rPr>
          <w:b/>
          <w:bCs/>
          <w:color w:val="0A5C46"/>
        </w:rPr>
        <w:t xml:space="preserve">§ 8 Meldepflichten bei Verletzungen des Schutzes personenbezogener Daten</w:t>
      </w:r>
    </w:p>
    <w:p>
      <w:pPr>
        <w:spacing w:after="160"/>
      </w:pPr>
      <w:r>
        <w:t xml:space="preserve">Der Auftragsverarbeiter informiert den Verantwortlichen unverzüglich, spätestens jedoch innerhalb von 24 Stunden nach Bekanntwerden, über jede Verletzung des Schutzes personenbezogener Daten gemäß Art. 33, 34 DSGVO und unterstützt ihn bei der Erfüllung seiner Meldepflichten gegenüber Aufsichtsbehörden und Betroffenen.</w:t>
      </w:r>
    </w:p>
    <w:p>
      <w:pPr>
        <w:pStyle w:val="Heading1"/>
        <w:spacing w:after="160" w:before="360"/>
      </w:pPr>
      <w:r>
        <w:rPr>
          <w:b/>
          <w:bCs/>
          <w:color w:val="0A5C46"/>
        </w:rPr>
        <w:t xml:space="preserve">§ 9 Kontrollrechte des Verantwortlichen</w:t>
      </w:r>
    </w:p>
    <w:p>
      <w:pPr>
        <w:spacing w:after="160"/>
      </w:pPr>
      <w:r>
        <w:t xml:space="preserve">Der Verantwortliche hat das Recht, sich von der Einhaltung der in diesem Vertrag vereinbarten technischen und organisatorischen Maßnahmen zu überzeugen, z. B. durch Einholung von Nachweisen, Selbstauskünften oder — nach vorheriger Ankündigung mit angemessener Frist — durch Vor-Ort-Kontrollen.</w:t>
      </w:r>
    </w:p>
    <w:p>
      <w:pPr>
        <w:pStyle w:val="Heading1"/>
        <w:spacing w:after="160" w:before="360"/>
      </w:pPr>
      <w:r>
        <w:rPr>
          <w:b/>
          <w:bCs/>
          <w:color w:val="0A5C46"/>
        </w:rPr>
        <w:t xml:space="preserve">§ 10 Löschung und Rückgabe personenbezogener Daten</w:t>
      </w:r>
    </w:p>
    <w:p>
      <w:pPr>
        <w:spacing w:after="160"/>
      </w:pPr>
      <w:r>
        <w:t xml:space="preserve">Nach Beendigung der vertraglichen Leistungen löscht der Auftragsverarbeiter sämtliche personenbezogenen Daten oder gibt sie nach Wahl des Verantwortlichen zurück, sofern nicht gesetzliche Aufbewahrungspflichten entgegenstehen.</w:t>
      </w:r>
    </w:p>
    <w:p>
      <w:pPr>
        <w:spacing w:after="160"/>
      </w:pPr>
      <w:r>
        <w:rPr>
          <w:b/>
          <w:bCs/>
        </w:rPr>
        <w:t xml:space="preserve">Vereinbarte Löschfrist nach Vertragsende: </w:t>
      </w:r>
      <w:r>
        <w:rPr>
          <w:u w:val="single"/>
        </w:rPr>
        <w:t xml:space="preserve">          </w:t>
      </w:r>
    </w:p>
    <w:p>
      <w:pPr>
        <w:pStyle w:val="Heading1"/>
        <w:spacing w:after="160" w:before="360"/>
      </w:pPr>
      <w:r>
        <w:rPr>
          <w:b/>
          <w:bCs/>
          <w:color w:val="0A5C46"/>
        </w:rPr>
        <w:t xml:space="preserve">§ 11 Haftung</w:t>
      </w:r>
    </w:p>
    <w:p>
      <w:pPr>
        <w:spacing w:after="160"/>
      </w:pPr>
      <w:r>
        <w:t xml:space="preserve">Es gilt die gesetzliche Haftungsregelung gemäß Art. 82 DSGVO. Im Innenverhältnis haftet jede Partei für von ihr verursachte Schäden entsprechend ihres Verursachungsbeitrags.</w:t>
      </w:r>
    </w:p>
    <w:p>
      <w:pPr>
        <w:pStyle w:val="Heading1"/>
        <w:spacing w:after="160" w:before="360"/>
      </w:pPr>
      <w:r>
        <w:rPr>
          <w:b/>
          <w:bCs/>
          <w:color w:val="0A5C46"/>
        </w:rPr>
        <w:t xml:space="preserve">§ 12 Schlussbestimmungen</w:t>
      </w:r>
    </w:p>
    <w:p>
      <w:pPr>
        <w:pStyle w:val="ListParagraph"/>
        <w:numPr>
          <w:ilvl w:val="0"/>
          <w:numId w:val="1"/>
        </w:numPr>
        <w:spacing w:after="80"/>
      </w:pPr>
      <w:r>
        <w:t xml:space="preserve">Änderungen und Ergänzungen dieses Vertrags bedürfen der Schriftform.</w:t>
      </w:r>
    </w:p>
    <w:p>
      <w:pPr>
        <w:pStyle w:val="ListParagraph"/>
        <w:numPr>
          <w:ilvl w:val="0"/>
          <w:numId w:val="1"/>
        </w:numPr>
        <w:spacing w:after="80"/>
      </w:pPr>
      <w:r>
        <w:t xml:space="preserve">Sollten einzelne Bestimmungen unwirksam sein, bleibt die Wirksamkeit der übrigen Bestimmungen unberührt.</w:t>
      </w:r>
    </w:p>
    <w:p>
      <w:pPr>
        <w:pStyle w:val="ListParagraph"/>
        <w:numPr>
          <w:ilvl w:val="0"/>
          <w:numId w:val="1"/>
        </w:numPr>
        <w:spacing w:after="80"/>
      </w:pPr>
      <w:r>
        <w:t xml:space="preserve">Es gilt das Recht der Bundesrepublik Deutschland.</w:t>
      </w:r>
    </w:p>
    <w:p>
      <w:pPr>
        <w:spacing w:after="160"/>
      </w:pPr>
      <w:r>
        <w:rPr>
          <w:b/>
          <w:bCs/>
        </w:rPr>
        <w:t xml:space="preserve">Gerichtsstand: </w:t>
      </w:r>
      <w:r>
        <w:rPr>
          <w:u w:val="single"/>
        </w:rPr>
        <w:t xml:space="preserve">          </w:t>
      </w:r>
    </w:p>
    <w:p>
      <w:pPr>
        <w:spacing w:after="160" w:before="500"/>
      </w:pPr>
      <w:r>
        <w:rPr>
          <w:b/>
          <w:bCs/>
        </w:rPr>
        <w:t xml:space="preserve">Ort, Datum: </w:t>
      </w:r>
      <w:r>
        <w:rPr>
          <w:u w:val="single"/>
        </w:rPr>
        <w:t xml:space="preserve">                    </w:t>
      </w:r>
    </w:p>
    <w:p>
      <w:pPr>
        <w:spacing w:before="500"/>
      </w:pP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pct" w:w="2500"/>
            <w:tcMar>
              <w:right w:type="dxa" w:w="300"/>
            </w:tcMar>
          </w:tcPr>
          <w:p>
            <w:pPr>
              <w:pBdr>
                <w:top w:val="single" w:color="888888" w:sz="4"/>
              </w:pBdr>
              <w:spacing w:before="600"/>
            </w:pPr>
          </w:p>
          <w:p>
            <w:r>
              <w:rPr>
                <w:color w:val="5B8577"/>
                <w:sz w:val="18"/>
                <w:szCs w:val="18"/>
              </w:rPr>
              <w:t xml:space="preserve">Unterschrift Verantwortlicher (Apotheke)</w:t>
            </w:r>
          </w:p>
        </w:tc>
        <w:tc>
          <w:tcPr>
            <w:tcW w:type="pct" w:w="2500"/>
            <w:tcMar>
              <w:left w:type="dxa" w:w="300"/>
            </w:tcMar>
          </w:tcPr>
          <w:p>
            <w:pPr>
              <w:pBdr>
                <w:top w:val="single" w:color="888888" w:sz="4"/>
              </w:pBdr>
              <w:spacing w:before="600"/>
            </w:pPr>
          </w:p>
          <w:p>
            <w:r>
              <w:rPr>
                <w:color w:val="5B8577"/>
                <w:sz w:val="18"/>
                <w:szCs w:val="18"/>
              </w:rPr>
              <w:t xml:space="preserve">Unterschrift Auftragsverarbeiter</w:t>
            </w:r>
          </w:p>
        </w:tc>
      </w:tr>
    </w:tbl>
    <w:p>
      <w:r>
        <w:br w:type="page"/>
      </w:r>
    </w:p>
    <w:p>
      <w:pPr>
        <w:pStyle w:val="Heading1"/>
      </w:pPr>
      <w:r>
        <w:rPr>
          <w:b/>
          <w:bCs/>
          <w:color w:val="0A5C46"/>
        </w:rPr>
        <w:t xml:space="preserve">Anlage 1 — Technische und organisatorische Maßnahmen (TOM)</w:t>
      </w:r>
    </w:p>
    <w:p>
      <w:pPr>
        <w:spacing w:after="160"/>
      </w:pPr>
      <w:r>
        <w:rPr>
          <w:i/>
          <w:iCs/>
          <w:color w:val="5B8577"/>
        </w:rPr>
        <w:t xml:space="preserve">gemäß Art. 32 DSGVO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1500"/>
            <w:shd w:fill="EAFBF3" w:val="clear"/>
            <w:tcMar>
              <w:top w:type="dxa" w:w="100"/>
              <w:left w:type="dxa" w:w="120"/>
              <w:bottom w:type="dxa" w:w="100"/>
              <w:right w:type="dxa" w:w="120"/>
            </w:tcMar>
          </w:tcPr>
          <w:p>
            <w:r>
              <w:rPr>
                <w:b/>
                <w:bCs/>
              </w:rPr>
              <w:t xml:space="preserve">Bereich</w:t>
            </w:r>
          </w:p>
        </w:tc>
        <w:tc>
          <w:tcPr>
            <w:tcW w:type="pct" w:w="3500"/>
            <w:shd w:fill="EAFBF3" w:val="clear"/>
            <w:tcMar>
              <w:top w:type="dxa" w:w="100"/>
              <w:left w:type="dxa" w:w="120"/>
              <w:bottom w:type="dxa" w:w="100"/>
              <w:right w:type="dxa" w:w="120"/>
            </w:tcMar>
          </w:tcPr>
          <w:p>
            <w:r>
              <w:rPr>
                <w:b/>
                <w:bCs/>
              </w:rPr>
              <w:t xml:space="preserve">Maßnahme</w:t>
            </w:r>
          </w:p>
        </w:tc>
      </w:tr>
      <w:tr>
        <w:tc>
          <w:tcPr>
            <w:tcW w:type="pct" w:w="1500"/>
            <w:shd w:fill="FFFFFF" w:val="clear"/>
            <w:tcMar>
              <w:top w:type="dxa" w:w="100"/>
              <w:left w:type="dxa" w:w="120"/>
              <w:bottom w:type="dxa" w:w="100"/>
              <w:right w:type="dxa" w:w="120"/>
            </w:tcMar>
          </w:tcPr>
          <w:p>
            <w:r>
              <w:rPr>
                <w:b w:val="false"/>
                <w:bCs w:val="false"/>
              </w:rPr>
              <w:t xml:space="preserve">Vertraulichkeit</w:t>
            </w:r>
          </w:p>
        </w:tc>
        <w:tc>
          <w:tcPr>
            <w:tcW w:type="pct" w:w="3500"/>
            <w:shd w:fill="FFFFFF" w:val="clear"/>
            <w:tcMar>
              <w:top w:type="dxa" w:w="100"/>
              <w:left w:type="dxa" w:w="120"/>
              <w:bottom w:type="dxa" w:w="100"/>
              <w:right w:type="dxa" w:w="120"/>
            </w:tcMar>
          </w:tcPr>
          <w:p>
            <w:r>
              <w:rPr>
                <w:b w:val="false"/>
                <w:bCs w:val="false"/>
              </w:rPr>
              <w:t xml:space="preserve">Zutrittskontrolle zu Serverräumen/Hosting; Zugriffskontrolle über rollenbasierte Rechte; Verschlüsselung der Datenübertragung (TLS) und Datenspeicherung</w:t>
            </w:r>
          </w:p>
        </w:tc>
      </w:tr>
      <w:tr>
        <w:tc>
          <w:tcPr>
            <w:tcW w:type="pct" w:w="1500"/>
            <w:shd w:fill="FFFFFF" w:val="clear"/>
            <w:tcMar>
              <w:top w:type="dxa" w:w="100"/>
              <w:left w:type="dxa" w:w="120"/>
              <w:bottom w:type="dxa" w:w="100"/>
              <w:right w:type="dxa" w:w="120"/>
            </w:tcMar>
          </w:tcPr>
          <w:p>
            <w:r>
              <w:rPr>
                <w:b w:val="false"/>
                <w:bCs w:val="false"/>
              </w:rPr>
              <w:t xml:space="preserve">Integrität</w:t>
            </w:r>
          </w:p>
        </w:tc>
        <w:tc>
          <w:tcPr>
            <w:tcW w:type="pct" w:w="3500"/>
            <w:shd w:fill="FFFFFF" w:val="clear"/>
            <w:tcMar>
              <w:top w:type="dxa" w:w="100"/>
              <w:left w:type="dxa" w:w="120"/>
              <w:bottom w:type="dxa" w:w="100"/>
              <w:right w:type="dxa" w:w="120"/>
            </w:tcMar>
          </w:tcPr>
          <w:p>
            <w:r>
              <w:rPr>
                <w:b w:val="false"/>
                <w:bCs w:val="false"/>
              </w:rPr>
              <w:t xml:space="preserve">Protokollierung von Änderungen; Weitergabekontrolle durch verschlüsselte Übertragungswege</w:t>
            </w:r>
          </w:p>
        </w:tc>
      </w:tr>
      <w:tr>
        <w:tc>
          <w:tcPr>
            <w:tcW w:type="pct" w:w="1500"/>
            <w:shd w:fill="FFFFFF" w:val="clear"/>
            <w:tcMar>
              <w:top w:type="dxa" w:w="100"/>
              <w:left w:type="dxa" w:w="120"/>
              <w:bottom w:type="dxa" w:w="100"/>
              <w:right w:type="dxa" w:w="120"/>
            </w:tcMar>
          </w:tcPr>
          <w:p>
            <w:r>
              <w:rPr>
                <w:b w:val="false"/>
                <w:bCs w:val="false"/>
              </w:rPr>
              <w:t xml:space="preserve">Verfügbarkeit</w:t>
            </w:r>
          </w:p>
        </w:tc>
        <w:tc>
          <w:tcPr>
            <w:tcW w:type="pct" w:w="3500"/>
            <w:shd w:fill="FFFFFF" w:val="clear"/>
            <w:tcMar>
              <w:top w:type="dxa" w:w="100"/>
              <w:left w:type="dxa" w:w="120"/>
              <w:bottom w:type="dxa" w:w="100"/>
              <w:right w:type="dxa" w:w="120"/>
            </w:tcMar>
          </w:tcPr>
          <w:p>
            <w:r>
              <w:rPr>
                <w:b w:val="false"/>
                <w:bCs w:val="false"/>
              </w:rPr>
              <w:t xml:space="preserve">Regelmäßige Backups; redundante Systemauslegung; Wiederherstellungskonzept</w:t>
            </w:r>
          </w:p>
        </w:tc>
      </w:tr>
      <w:tr>
        <w:tc>
          <w:tcPr>
            <w:tcW w:type="pct" w:w="1500"/>
            <w:shd w:fill="FFFFFF" w:val="clear"/>
            <w:tcMar>
              <w:top w:type="dxa" w:w="100"/>
              <w:left w:type="dxa" w:w="120"/>
              <w:bottom w:type="dxa" w:w="100"/>
              <w:right w:type="dxa" w:w="120"/>
            </w:tcMar>
          </w:tcPr>
          <w:p>
            <w:r>
              <w:rPr>
                <w:b w:val="false"/>
                <w:bCs w:val="false"/>
              </w:rPr>
              <w:t xml:space="preserve">Belastbarkeit</w:t>
            </w:r>
          </w:p>
        </w:tc>
        <w:tc>
          <w:tcPr>
            <w:tcW w:type="pct" w:w="3500"/>
            <w:shd w:fill="FFFFFF" w:val="clear"/>
            <w:tcMar>
              <w:top w:type="dxa" w:w="100"/>
              <w:left w:type="dxa" w:w="120"/>
              <w:bottom w:type="dxa" w:w="100"/>
              <w:right w:type="dxa" w:w="120"/>
            </w:tcMar>
          </w:tcPr>
          <w:p>
            <w:r>
              <w:rPr>
                <w:b w:val="false"/>
                <w:bCs w:val="false"/>
              </w:rPr>
              <w:t xml:space="preserve">Monitoring der Systeme; Kapazitätsplanung</w:t>
            </w:r>
          </w:p>
        </w:tc>
      </w:tr>
      <w:tr>
        <w:tc>
          <w:tcPr>
            <w:tcW w:type="pct" w:w="1500"/>
            <w:shd w:fill="FFFFFF" w:val="clear"/>
            <w:tcMar>
              <w:top w:type="dxa" w:w="100"/>
              <w:left w:type="dxa" w:w="120"/>
              <w:bottom w:type="dxa" w:w="100"/>
              <w:right w:type="dxa" w:w="120"/>
            </w:tcMar>
          </w:tcPr>
          <w:p>
            <w:r>
              <w:rPr>
                <w:b w:val="false"/>
                <w:bCs w:val="false"/>
              </w:rPr>
              <w:t xml:space="preserve">Verfahren zur Überprüfung</w:t>
            </w:r>
          </w:p>
        </w:tc>
        <w:tc>
          <w:tcPr>
            <w:tcW w:type="pct" w:w="3500"/>
            <w:shd w:fill="FFFFFF" w:val="clear"/>
            <w:tcMar>
              <w:top w:type="dxa" w:w="100"/>
              <w:left w:type="dxa" w:w="120"/>
              <w:bottom w:type="dxa" w:w="100"/>
              <w:right w:type="dxa" w:w="120"/>
            </w:tcMar>
          </w:tcPr>
          <w:p>
            <w:r>
              <w:rPr>
                <w:b w:val="false"/>
                <w:bCs w:val="false"/>
              </w:rPr>
              <w:t xml:space="preserve">Regelmäßige Überprüfung der Wirksamkeit der Maßnahmen; Dokumentation von Sicherheitsvorfällen</w:t>
            </w:r>
          </w:p>
        </w:tc>
      </w:tr>
      <w:tr>
        <w:tc>
          <w:tcPr>
            <w:tcW w:type="pct" w:w="1500"/>
            <w:shd w:fill="FFFFFF" w:val="clear"/>
            <w:tcMar>
              <w:top w:type="dxa" w:w="100"/>
              <w:left w:type="dxa" w:w="120"/>
              <w:bottom w:type="dxa" w:w="100"/>
              <w:right w:type="dxa" w:w="120"/>
            </w:tcMar>
          </w:tcPr>
          <w:p>
            <w:r>
              <w:rPr>
                <w:b w:val="false"/>
                <w:bCs w:val="false"/>
              </w:rPr>
              <w:t xml:space="preserve">Auftragskontrolle</w:t>
            </w:r>
          </w:p>
        </w:tc>
        <w:tc>
          <w:tcPr>
            <w:tcW w:type="pct" w:w="3500"/>
            <w:shd w:fill="FFFFFF" w:val="clear"/>
            <w:tcMar>
              <w:top w:type="dxa" w:w="100"/>
              <w:left w:type="dxa" w:w="120"/>
              <w:bottom w:type="dxa" w:w="100"/>
              <w:right w:type="dxa" w:w="120"/>
            </w:tcMar>
          </w:tcPr>
          <w:p>
            <w:r>
              <w:rPr>
                <w:b w:val="false"/>
                <w:bCs w:val="false"/>
              </w:rPr>
              <w:t xml:space="preserve">Vertragliche Bindung von Mitarbeitenden und Unterauftragsverarbeitern an Weisungen und Vertraulichkeit</w:t>
            </w:r>
          </w:p>
        </w:tc>
      </w:tr>
    </w:tbl>
    <w:p>
      <w:pPr>
        <w:spacing w:before="200"/>
      </w:pPr>
    </w:p>
    <w:p>
      <w:pPr>
        <w:spacing w:after="160"/>
      </w:pPr>
      <w:r>
        <w:rPr>
          <w:i/>
          <w:iCs/>
          <w:color w:val="5B8577"/>
          <w:sz w:val="20"/>
          <w:szCs w:val="20"/>
        </w:rPr>
        <w:t xml:space="preserve">Hinweis: Diese Tabelle ist durch den Auftragsverarbeiter um die tatsächlich umgesetzten, konkreten Maßnahmen zu ergänzen (z. B. genutzter Hosting-Anbieter, Backup-Intervalle, Verschlüsselungsstandards).</w:t>
      </w:r>
    </w:p>
    <w:p>
      <w:r>
        <w:br w:type="page"/>
      </w:r>
    </w:p>
    <w:p>
      <w:pPr>
        <w:pStyle w:val="Heading1"/>
      </w:pPr>
      <w:r>
        <w:rPr>
          <w:b/>
          <w:bCs/>
          <w:color w:val="0A5C46"/>
        </w:rPr>
        <w:t xml:space="preserve">Anlage 2 — Genehmigte Unterauftragsverarbeiter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77"/>
        <w:gridCol w:w="3181"/>
        <w:gridCol w:w="3181"/>
      </w:tblGrid>
      <w:tr>
        <w:tc>
          <w:tcPr>
            <w:tcW w:type="pct" w:w="1700"/>
            <w:shd w:fill="EAFBF3" w:val="clear"/>
            <w:tcMar>
              <w:top w:type="dxa" w:w="100"/>
              <w:left w:type="dxa" w:w="120"/>
              <w:bottom w:type="dxa" w:w="100"/>
              <w:right w:type="dxa" w:w="120"/>
            </w:tcMar>
          </w:tcPr>
          <w:p>
            <w:r>
              <w:rPr>
                <w:b/>
                <w:bCs/>
              </w:rPr>
              <w:t xml:space="preserve">Name / Firma</w:t>
            </w:r>
          </w:p>
        </w:tc>
        <w:tc>
          <w:tcPr>
            <w:tcW w:type="pct" w:w="1650"/>
            <w:shd w:fill="EAFBF3" w:val="clear"/>
            <w:tcMar>
              <w:top w:type="dxa" w:w="100"/>
              <w:left w:type="dxa" w:w="120"/>
              <w:bottom w:type="dxa" w:w="100"/>
              <w:right w:type="dxa" w:w="120"/>
            </w:tcMar>
          </w:tcPr>
          <w:p>
            <w:r>
              <w:rPr>
                <w:b/>
                <w:bCs/>
              </w:rPr>
              <w:t xml:space="preserve">Leistung</w:t>
            </w:r>
          </w:p>
        </w:tc>
        <w:tc>
          <w:tcPr>
            <w:tcW w:type="pct" w:w="1650"/>
            <w:shd w:fill="EAFBF3" w:val="clear"/>
            <w:tcMar>
              <w:top w:type="dxa" w:w="100"/>
              <w:left w:type="dxa" w:w="120"/>
              <w:bottom w:type="dxa" w:w="100"/>
              <w:right w:type="dxa" w:w="120"/>
            </w:tcMar>
          </w:tcPr>
          <w:p>
            <w:r>
              <w:rPr>
                <w:b/>
                <w:bCs/>
              </w:rPr>
              <w:t xml:space="preserve">Standort der Verarbeitung</w:t>
            </w:r>
          </w:p>
        </w:tc>
      </w:tr>
      <w:tr>
        <w:tc>
          <w:tcPr>
            <w:tcW w:type="pct" w:w="1700"/>
            <w:tcMar>
              <w:top w:type="dxa" w:w="140"/>
              <w:left w:type="dxa" w:w="120"/>
              <w:bottom w:type="dxa" w:w="140"/>
              <w:right w:type="dxa" w:w="120"/>
            </w:tcMar>
          </w:tcPr>
          <w:p>
            <w:r>
              <w:rPr>
                <w:u w:val="single"/>
              </w:rPr>
              <w:t xml:space="preserve">          </w:t>
            </w:r>
          </w:p>
        </w:tc>
        <w:tc>
          <w:tcPr>
            <w:tcW w:type="pct" w:w="1650"/>
            <w:tcMar>
              <w:top w:type="dxa" w:w="140"/>
              <w:left w:type="dxa" w:w="120"/>
              <w:bottom w:type="dxa" w:w="140"/>
              <w:right w:type="dxa" w:w="120"/>
            </w:tcMar>
          </w:tcPr>
          <w:p>
            <w:r>
              <w:rPr>
                <w:u w:val="single"/>
              </w:rPr>
              <w:t xml:space="preserve">          </w:t>
            </w:r>
          </w:p>
        </w:tc>
        <w:tc>
          <w:tcPr>
            <w:tcW w:type="pct" w:w="1650"/>
            <w:tcMar>
              <w:top w:type="dxa" w:w="140"/>
              <w:left w:type="dxa" w:w="120"/>
              <w:bottom w:type="dxa" w:w="140"/>
              <w:right w:type="dxa" w:w="120"/>
            </w:tcMar>
          </w:tcPr>
          <w:p>
            <w:r>
              <w:rPr>
                <w:u w:val="single"/>
              </w:rPr>
              <w:t xml:space="preserve">          </w:t>
            </w:r>
          </w:p>
        </w:tc>
      </w:tr>
      <w:tr>
        <w:tc>
          <w:tcPr>
            <w:tcW w:type="pct" w:w="1700"/>
            <w:tcMar>
              <w:top w:type="dxa" w:w="140"/>
              <w:left w:type="dxa" w:w="120"/>
              <w:bottom w:type="dxa" w:w="140"/>
              <w:right w:type="dxa" w:w="120"/>
            </w:tcMar>
          </w:tcPr>
          <w:p>
            <w:r>
              <w:rPr>
                <w:u w:val="single"/>
              </w:rPr>
              <w:t xml:space="preserve">          </w:t>
            </w:r>
          </w:p>
        </w:tc>
        <w:tc>
          <w:tcPr>
            <w:tcW w:type="pct" w:w="1650"/>
            <w:tcMar>
              <w:top w:type="dxa" w:w="140"/>
              <w:left w:type="dxa" w:w="120"/>
              <w:bottom w:type="dxa" w:w="140"/>
              <w:right w:type="dxa" w:w="120"/>
            </w:tcMar>
          </w:tcPr>
          <w:p>
            <w:r>
              <w:rPr>
                <w:u w:val="single"/>
              </w:rPr>
              <w:t xml:space="preserve">          </w:t>
            </w:r>
          </w:p>
        </w:tc>
        <w:tc>
          <w:tcPr>
            <w:tcW w:type="pct" w:w="1650"/>
            <w:tcMar>
              <w:top w:type="dxa" w:w="140"/>
              <w:left w:type="dxa" w:w="120"/>
              <w:bottom w:type="dxa" w:w="140"/>
              <w:right w:type="dxa" w:w="120"/>
            </w:tcMar>
          </w:tcPr>
          <w:p>
            <w:r>
              <w:rPr>
                <w:u w:val="single"/>
              </w:rPr>
              <w:t xml:space="preserve">          </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8577"/>
        <w:sz w:val="16"/>
        <w:szCs w:val="16"/>
      </w:rPr>
      <w:t xml:space="preserve">Seite </w:t>
    </w:r>
    <w:r>
      <w:rPr>
        <w:color w:val="5B8577"/>
        <w:sz w:val="16"/>
        <w:szCs w:val="16"/>
      </w:rPr>
      <w:fldChar w:fldCharType="begin"/>
      <w:instrText xml:space="preserve">PAGE</w:instrText>
      <w:fldChar w:fldCharType="separate"/>
      <w:fldChar w:fldCharType="end"/>
    </w:r>
    <w:r>
      <w:rPr>
        <w:color w:val="5B8577"/>
        <w:sz w:val="16"/>
        <w:szCs w:val="16"/>
      </w:rPr>
      <w:t xml:space="preserve"> von </w:t>
    </w:r>
    <w:r>
      <w:rPr>
        <w:color w:val="5B8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8577"/>
        <w:sz w:val="16"/>
        <w:szCs w:val="16"/>
      </w:rPr>
      <w:t xml:space="preserve">Auftragsverarbeitungsvertrag (AVV) — Vorlage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2026-10-08T14:18:42.498Z</dcterms:created>
  <dcterms:modified xsi:type="dcterms:W3CDTF">2026-10-08T14:18:42.499Z</dcterms:modified>
</cp:coreProperties>
</file>

<file path=docProps/custom.xml><?xml version="1.0" encoding="utf-8"?>
<Properties xmlns="http://schemas.openxmlformats.org/officeDocument/2006/custom-properties" xmlns:vt="http://schemas.openxmlformats.org/officeDocument/2006/docPropsVTypes"/>
</file>