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Facts, assumptions and unknowns</w:t>
      </w:r>
    </w:p>
    <w:p>
      <w:pPr>
        <w:pStyle w:val="Subtitle"/>
      </w:pPr>
      <w:r>
        <w:t>University of Melbourne | Workforce IAM | Prepared 13 October 2026</w:t>
      </w:r>
    </w:p>
    <w:p>
      <w:pPr>
        <w:pStyle w:val="Heading1"/>
      </w:pPr>
      <w:r>
        <w:t>Evidence classification register</w:t>
      </w:r>
    </w:p>
    <w:p>
      <w:r>
        <w:t>Published workforce size | Public source claim | Basis: 2025 Annual Report [SRC-001] | Treatment: Verify metric definitions</w:t>
      </w:r>
    </w:p>
    <w:p>
      <w:r>
        <w:t>Okta Verify used | Public documentation | Basis: MFA resource [SRC-005] | Treatment: Coverage across systems unknown</w:t>
      </w:r>
    </w:p>
    <w:p>
      <w:r>
        <w:t>All privileged accounts protected by MFA | Unknown | Basis: Internal identity configuration | Treatment: Do not infer from MFA guidance</w:t>
      </w:r>
    </w:p>
    <w:p>
      <w:r>
        <w:t>Entra ID used for conditional access | Project assumption | Basis: Hypothetical environment only | Treatment: Not a claim about the University</w:t>
      </w:r>
    </w:p>
    <w:p>
      <w:r>
        <w:t>JML deprovisioning meets SLA | Unknown | Basis: HR and identity event logs required | Treatment: Not assessed</w:t>
      </w:r>
    </w:p>
    <w:p>
      <w:r>
        <w:t>Access reviews performed quarterly | Unknown | Basis: Review evidence and approvals required | Treatment: Not assessed</w:t>
      </w:r>
    </w:p>
    <w:p>
      <w:r>
        <w:t>Canvas incident | Public fact | Basis: University notice [SRC-007] | Treatment: Out of IAM scope; contextual</w:t>
      </w:r>
    </w:p>
    <w:p>
      <w:r>
        <w:t>Wi-Fi privacy findings | Public fact | Basis: OVIC [SRC-008] | Treatment: Not an IAM control finding</w:t>
      </w:r>
    </w:p>
    <w:p>
      <w:r>
        <w:t>Privileged access test exceptions | Simulated example only | Basis: Future sample evidence | Treatment: Must be visibly marked SIMULATED</w:t>
      </w:r>
    </w:p>
    <w:p>
      <w:r>
        <w:t>Portfolio disclaimer: Publicly documented facts describe published information only. Hypothetical scenarios, sample ratings, and simulated controls do not represent findings about the University.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GRC PORTFOLIO  /  SIMULATED EXERCISE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