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Organisation profile and assessment boundary</w:t>
      </w:r>
    </w:p>
    <w:p>
      <w:pPr>
        <w:pStyle w:val="Subtitle"/>
      </w:pPr>
      <w:r>
        <w:t>University of Melbourne | Workforce IAM | Prepared 13 October 2026</w:t>
      </w:r>
    </w:p>
    <w:p>
      <w:pPr>
        <w:pStyle w:val="Heading1"/>
      </w:pPr>
      <w:r>
        <w:t>Purpose and institutional context</w:t>
      </w:r>
    </w:p>
    <w:p>
      <w:r>
        <w:t>The University of Melbourne is a public higher education and research institution. The supplied 2025 Annual Report research records student headcount of 76,504 and staff headcount of 13,830 [SRC-001]; verify the report’s metric definitions before using these figures in external presentations. Large populations of staff, students and collaborators make identity lifecycle governance a relevant area for a simulated exercise. This is a risk consideration, not evidence of a University control weakness.</w:t>
      </w:r>
    </w:p>
    <w:p>
      <w:pPr>
        <w:pStyle w:val="Heading1"/>
      </w:pPr>
      <w:r>
        <w:t>Published technology and security context</w:t>
      </w:r>
    </w:p>
    <w:p>
      <w:r>
        <w:t>University public-facing guidance describes Okta Verify and authentication support [SRC-005, SRC-006]. The precise scope of Okta across workforce, research, legacy and privileged systems is not established by the public material reviewed. Microsoft Entra ID integration is a SIMULATED PROJECT ASSUMPTION, not a verified University architecture.</w:t>
      </w:r>
    </w:p>
    <w:p>
      <w:r>
        <w:t>University policies MPF1270 (information security), MPF1104 (privacy), and MPF1314 (IT use) are relevant governance references [SRC-002–004]. Policy references to ISO/IEC 27001/27002 do not demonstrate ISO certification or operating effectiveness. Exact policy clauses, version dates, and accountability language require final line-by-line verification before being represented as direct quotations.</w:t>
      </w:r>
    </w:p>
    <w:p>
      <w:pPr>
        <w:pStyle w:val="Heading1"/>
      </w:pPr>
      <w:r>
        <w:t>Data and business impact</w:t>
      </w:r>
    </w:p>
    <w:p>
      <w:r>
        <w:t>The institution processes staff, student, research and other information. This exercise concentrates on the risk of unauthorised access to workforce-related systems and information. The precise classifications, data inventories, HR platforms and privileged account architecture are not publicly verified for this exercise.</w:t>
      </w:r>
    </w:p>
    <w:p>
      <w:pPr>
        <w:pStyle w:val="Heading1"/>
      </w:pPr>
      <w:r>
        <w:t>External security context</w:t>
      </w:r>
    </w:p>
    <w:p>
      <w:r>
        <w:t>The University operates a public vulnerability-reporting channel [SRC-009] and cybersecurity incident-reporting channels [SRC-010]. These demonstrate reporting mechanisms, not remediation SLAs or verified control effectiveness.</w:t>
      </w:r>
    </w:p>
    <w:p>
      <w:r>
        <w:t>The University published a May 2026 Canvas LMS incident update [SRC-007]. It reported vendor-provided assurances concerning data return/deletion, while noting uncertainty about the precise data involved. The incident is contextual third-party risk information; Canvas security is outside this workforce IAM assessment.</w:t>
      </w:r>
    </w:p>
    <w:p>
      <w:r>
        <w:t>OVIC reported findings concerning Wi-Fi location information and Information Privacy Principles 1.3 and 2.1 in August 2025 [SRC-008]. Its report says staff-email searches did not contravene the IPPs. This is privacy-governance context, not proof of a workforce IAM deficiency.</w:t>
      </w:r>
    </w:p>
    <w:p>
      <w:pPr>
        <w:pStyle w:val="Heading1"/>
      </w:pPr>
      <w:r>
        <w:t>Assessment scope</w:t>
      </w:r>
    </w:p>
    <w:p>
      <w:r>
        <w:t>IN SCOPE: Workforce authentication and MFA; joiner-mover-leaver access; privileged identities; periodic access reviews; service accounts; workforce contractor/external access; evidence collection and risk treatment.</w:t>
      </w:r>
    </w:p>
    <w:p>
      <w:r>
        <w:t>OUT OF SCOPE: Student account lifecycle, Canvas application controls, research infrastructure architecture, clinical systems, and broad vulnerability management except where an IAM dependency is specifically identified.</w:t>
      </w:r>
    </w:p>
    <w:p>
      <w:r>
        <w:t>ASSESSMENT TYPE: Desk-based public-source review combined with a clearly separated hypothetical control-testing exercise. No internal University access, interviews, screenshots or configuration exports have been obtained.</w:t>
      </w:r>
    </w:p>
    <w:p>
      <w:pPr>
        <w:pStyle w:val="Heading1"/>
      </w:pPr>
      <w:r>
        <w:t>Evidence rules and decision criteria</w:t>
      </w:r>
    </w:p>
    <w:p>
      <w:r>
        <w:t>PUBLIC FACT: Supported by an identifiable source. PROJECT ASSUMPTION: Invented only to make a hypothetical scenario testable. SIMULATED EVIDENCE: Sample artefact generated for training, visibly marked simulated. UNKNOWN: Requires internal confirmation.</w:t>
      </w:r>
    </w:p>
    <w:p>
      <w:r>
        <w:t>Absence of public evidence is NOT evidence of control failure. Real-world effectiveness must remain “Not assessed / unable to verify” unless independently supported. Hypothetical test outcomes and scores must be labelled simulated.</w:t>
      </w:r>
    </w:p>
    <w:p>
      <w:r>
        <w:t>Portfolio disclaimer: Publicly documented facts describe published information only. Hypothetical scenarios, sample ratings, and simulated controls do not represent findings about the University.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GRC PORTFOLIO  /  SIMULATED EXERCISE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