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Risk assessment methodology</w:t>
      </w:r>
    </w:p>
    <w:p>
      <w:pPr>
        <w:pStyle w:val="Subtitle"/>
      </w:pPr>
      <w:r>
        <w:t>University of Melbourne | Workforce IAM | Prepared 13 October 2026</w:t>
      </w:r>
    </w:p>
    <w:p>
      <w:pPr>
        <w:pStyle w:val="Heading1"/>
      </w:pPr>
      <w:r>
        <w:t>Application</w:t>
      </w:r>
    </w:p>
    <w:p>
      <w:r>
        <w:t>This methodology applies to a hypothetical workforce IAM environment. It is not the University’s own risk methodology. Scores in the companion register are illustrative planning estimates, not verified University risk ratings.</w:t>
      </w:r>
    </w:p>
    <w:p>
      <w:pPr>
        <w:pStyle w:val="Heading1"/>
      </w:pPr>
      <w:r>
        <w:t>Risk formulation</w:t>
      </w:r>
    </w:p>
    <w:p>
      <w:r>
        <w:t>Express each scenario as cause or vulnerability → event → business consequence. Assess inherent likelihood and impact before considering controls. The inherent score equals likelihood × impact.</w:t>
      </w:r>
    </w:p>
    <w:p>
      <w:pPr>
        <w:pStyle w:val="Heading1"/>
      </w:pPr>
      <w:r>
        <w:t>Likelihood scale</w:t>
      </w:r>
    </w:p>
    <w:p>
      <w:r>
        <w:t>1 Rare — exceptional, credible but remote.</w:t>
      </w:r>
    </w:p>
    <w:p>
      <w:r>
        <w:t>2 Unlikely — conceivable but not expected in normal conditions.</w:t>
      </w:r>
    </w:p>
    <w:p>
      <w:r>
        <w:t>3 Possible — plausible within the planning horizon.</w:t>
      </w:r>
    </w:p>
    <w:p>
      <w:r>
        <w:t>4 Likely — expected under several plausible circumstances.</w:t>
      </w:r>
    </w:p>
    <w:p>
      <w:r>
        <w:t>5 Almost certain — expected repeatedly or imminently.</w:t>
      </w:r>
    </w:p>
    <w:p>
      <w:r>
        <w:t>Do not translate these categories into precise annual frequencies without supporting incident and exposure data.</w:t>
      </w:r>
    </w:p>
    <w:p>
      <w:pPr>
        <w:pStyle w:val="Heading1"/>
      </w:pPr>
      <w:r>
        <w:t>Impact scale</w:t>
      </w:r>
    </w:p>
    <w:p>
      <w:r>
        <w:t>1 Insignificant — minimal interruption, no material personal data exposure.</w:t>
      </w:r>
    </w:p>
    <w:p>
      <w:r>
        <w:t>2 Minor — limited workforce disruption or small contained information exposure.</w:t>
      </w:r>
    </w:p>
    <w:p>
      <w:r>
        <w:t>3 Moderate — material departmental disruption or limited sensitive workforce data exposure.</w:t>
      </w:r>
    </w:p>
    <w:p>
      <w:r>
        <w:t>4 Major — significant service disruption, widespread sensitive workforce data exposure or serious regulatory consequences.</w:t>
      </w:r>
    </w:p>
    <w:p>
      <w:r>
        <w:t>5 Catastrophic — sustained enterprise-wide loss of essential access or severe systemic harm.</w:t>
      </w:r>
    </w:p>
    <w:p>
      <w:r>
        <w:t>Assess the highest credible consequence across confidentiality, integrity, availability, privacy, operations and reputation; document the rationale.</w:t>
      </w:r>
    </w:p>
    <w:p>
      <w:pPr>
        <w:pStyle w:val="Heading1"/>
      </w:pPr>
      <w:r>
        <w:t>Rating bands</w:t>
      </w:r>
    </w:p>
    <w:p>
      <w:r>
        <w:t>Low 1–3; Medium 4–9; High 10–19; Critical 20–25. Identical products receive identical categories. These bands are portfolio design choices, not University policy.</w:t>
      </w:r>
    </w:p>
    <w:p>
      <w:pPr>
        <w:pStyle w:val="Heading1"/>
      </w:pPr>
      <w:r>
        <w:t>Inherent vs residual</w:t>
      </w:r>
    </w:p>
    <w:p>
      <w:r>
        <w:t>Inherent = before control mitigation. Residual = after accounting for evidenced operating controls. For the real organisation, effectiveness and residual ratings remain NOT ASSESSED where internal evidence is unavailable. The workbook therefore leaves verified residual fields blank. Hypothetical treatments may be modelled later in a separate clearly labelled simulation.</w:t>
      </w:r>
    </w:p>
    <w:p>
      <w:pPr>
        <w:pStyle w:val="Heading1"/>
      </w:pPr>
      <w:r>
        <w:t>Governance and review</w:t>
      </w:r>
    </w:p>
    <w:p>
      <w:r>
        <w:t>Risk acceptance, remediation deadlines, and escalation thresholds in this exercise are illustrative. Actual ownership, risk appetite, exception authority and approval workflows require confirmation. Reassess when scope, evidence, threats or control status change.</w:t>
      </w:r>
    </w:p>
    <w:p>
      <w:r>
        <w:t>Portfolio disclaimer: Publicly documented facts describe published information only. Hypothetical scenarios, sample ratings, and simulated controls do not represent findings about the University.</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GRC PORTFOLIO  /  SIMULATED EXERCISE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