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2116"/>
          <w:sz w:val="48"/>
        </w:rPr>
        <w:t>Campus E-Audit System</w:t>
      </w:r>
    </w:p>
    <w:p>
      <w:r>
        <w:rPr>
          <w:rFonts w:ascii="Arial" w:hAnsi="Arial"/>
          <w:color w:val="5C6B32"/>
          <w:sz w:val="26"/>
        </w:rPr>
        <w:t>Standard Operating Procedure &amp; User Guide (Non-Developer Edition)</w:t>
      </w:r>
    </w:p>
    <w:p>
      <w:pPr>
        <w:spacing w:after="120"/>
      </w:pPr>
    </w:p>
    <w:tbl>
      <w:tblPr>
        <w:tblW w:type="auto" w:w="0"/>
        <w:jc w:val="center"/>
        <w:tblLook w:firstColumn="1" w:firstRow="1" w:lastColumn="0" w:lastRow="0" w:noHBand="0" w:noVBand="1" w:val="04A0"/>
      </w:tblPr>
      <w:tblGrid>
        <w:gridCol w:w="9936"/>
      </w:tblGrid>
      <w:tr>
        <w:tc>
          <w:tcPr>
            <w:tcW w:type="dxa" w:w="9936"/>
            <w:shd w:fill="F7F9EC"/>
            <w:tcMar>
              <w:top w:w="150" w:type="dxa"/>
              <w:bottom w:w="150" w:type="dxa"/>
              <w:left w:w="200" w:type="dxa"/>
              <w:right w:w="200" w:type="dxa"/>
            </w:tcMar>
          </w:tcPr>
          <w:p>
            <w:r>
              <w:rPr>
                <w:rFonts w:ascii="Arial" w:hAnsi="Arial"/>
                <w:color w:val="3B4522"/>
                <w:sz w:val="21"/>
              </w:rPr>
              <w:t>📌 Purpose: This document explains the complete, step-by-step workflow of the Campus E-Audit system—from logging into the Ticketing Platform to recording mentor audits, automated Intra-KAM peer matching, email alerts, and peer review sign-offs.</w:t>
            </w:r>
          </w:p>
        </w:tc>
      </w:tr>
    </w:tbl>
    <w:p>
      <w:pPr>
        <w:spacing w:after="240"/>
      </w:pPr>
    </w:p>
    <w:p>
      <w:pPr>
        <w:spacing w:before="320" w:after="120"/>
      </w:pPr>
      <w:r>
        <w:rPr>
          <w:rFonts w:ascii="Arial" w:hAnsi="Arial"/>
          <w:b/>
          <w:color w:val="2E5B2C"/>
          <w:sz w:val="30"/>
        </w:rPr>
        <w:t>1. How to Log In &amp; Open Campus E-Audit</w:t>
      </w:r>
    </w:p>
    <w:p>
      <w:pPr>
        <w:pStyle w:val="ListBullet"/>
        <w:spacing w:after="60" w:line="276" w:lineRule="auto"/>
      </w:pPr>
      <w:r>
        <w:rPr>
          <w:rFonts w:ascii="Arial" w:hAnsi="Arial"/>
          <w:b/>
          <w:color w:val="1C2116"/>
          <w:sz w:val="21"/>
        </w:rPr>
        <w:t>Step 1:</w:t>
      </w:r>
      <w:r>
        <w:rPr>
          <w:rFonts w:ascii="Arial" w:hAnsi="Arial"/>
          <w:color w:val="3C4043"/>
          <w:sz w:val="21"/>
        </w:rPr>
        <w:t xml:space="preserve"> Open Ticketing Platform.html in any modern web browser.</w:t>
      </w:r>
    </w:p>
    <w:p>
      <w:pPr>
        <w:pStyle w:val="ListBullet"/>
        <w:spacing w:after="60" w:line="276" w:lineRule="auto"/>
      </w:pPr>
      <w:r>
        <w:rPr>
          <w:rFonts w:ascii="Arial" w:hAnsi="Arial"/>
          <w:b/>
          <w:color w:val="1C2116"/>
          <w:sz w:val="21"/>
        </w:rPr>
        <w:t>Step 2:</w:t>
      </w:r>
      <w:r>
        <w:rPr>
          <w:rFonts w:ascii="Arial" w:hAnsi="Arial"/>
          <w:color w:val="3C4043"/>
          <w:sz w:val="21"/>
        </w:rPr>
        <w:t xml:space="preserve"> Select your role:</w:t>
      </w:r>
    </w:p>
    <w:p>
      <w:pPr>
        <w:spacing w:after="80" w:line="276" w:lineRule="auto"/>
      </w:pPr>
      <w:r>
        <w:rPr>
          <w:rFonts w:ascii="Arial" w:hAnsi="Arial"/>
          <w:color w:val="3C4043"/>
          <w:sz w:val="21"/>
        </w:rPr>
        <w:t xml:space="preserve">    • Campus Manager: Select your assigned College Name from the dropdown and enter your 4-digit PIN.</w:t>
      </w:r>
    </w:p>
    <w:p>
      <w:pPr>
        <w:spacing w:after="80" w:line="276" w:lineRule="auto"/>
      </w:pPr>
      <w:r>
        <w:rPr>
          <w:rFonts w:ascii="Arial" w:hAnsi="Arial"/>
          <w:color w:val="3C4043"/>
          <w:sz w:val="21"/>
        </w:rPr>
        <w:t xml:space="preserve">    • Senior Manager (KAM): Select your KAM Name and enter your PIN.</w:t>
      </w:r>
    </w:p>
    <w:p>
      <w:pPr>
        <w:pStyle w:val="ListBullet"/>
        <w:spacing w:after="60" w:line="276" w:lineRule="auto"/>
      </w:pPr>
      <w:r>
        <w:rPr>
          <w:rFonts w:ascii="Arial" w:hAnsi="Arial"/>
          <w:b/>
          <w:color w:val="1C2116"/>
          <w:sz w:val="21"/>
        </w:rPr>
        <w:t>Step 3:</w:t>
      </w:r>
      <w:r>
        <w:rPr>
          <w:rFonts w:ascii="Arial" w:hAnsi="Arial"/>
          <w:color w:val="3C4043"/>
          <w:sz w:val="21"/>
        </w:rPr>
        <w:t xml:space="preserve"> On the Platform Selection screen (where you see Ticketing, Daily Activity Log, etc.), click the 'E Audit' card.</w:t>
      </w:r>
    </w:p>
    <w:p>
      <w:pPr>
        <w:pStyle w:val="ListBullet"/>
        <w:spacing w:after="60" w:line="276" w:lineRule="auto"/>
      </w:pPr>
      <w:r>
        <w:rPr>
          <w:rFonts w:ascii="Arial" w:hAnsi="Arial"/>
          <w:b/>
          <w:color w:val="1C2116"/>
          <w:sz w:val="21"/>
        </w:rPr>
        <w:t>Step 4:</w:t>
      </w:r>
      <w:r>
        <w:rPr>
          <w:rFonts w:ascii="Arial" w:hAnsi="Arial"/>
          <w:color w:val="3C4043"/>
          <w:sz w:val="21"/>
        </w:rPr>
        <w:t xml:space="preserve"> The Campus E-Audit portal will open instantly with your role and campus already pre-filled and locked.</w:t>
      </w:r>
    </w:p>
    <w:p>
      <w:pPr>
        <w:pStyle w:val="ListBullet"/>
        <w:spacing w:after="60" w:line="276" w:lineRule="auto"/>
      </w:pPr>
      <w:r>
        <w:rPr>
          <w:rFonts w:ascii="Arial" w:hAnsi="Arial"/>
          <w:b/>
          <w:color w:val="1C2116"/>
          <w:sz w:val="21"/>
        </w:rPr>
        <w:t>Note:</w:t>
      </w:r>
      <w:r>
        <w:rPr>
          <w:rFonts w:ascii="Arial" w:hAnsi="Arial"/>
          <w:color w:val="3C4043"/>
          <w:sz w:val="21"/>
        </w:rPr>
        <w:t xml:space="preserve"> If you ever want to return to the Ticketing Platform, click the '← Switch platform' button located at the top right of the screen.</w:t>
      </w:r>
    </w:p>
    <w:p>
      <w:pPr>
        <w:spacing w:before="320" w:after="120"/>
      </w:pPr>
      <w:r>
        <w:rPr>
          <w:rFonts w:ascii="Arial" w:hAnsi="Arial"/>
          <w:b/>
          <w:color w:val="2E5B2C"/>
          <w:sz w:val="30"/>
        </w:rPr>
        <w:t>2. How to Record an Audit (3-Stage Flow)</w:t>
      </w:r>
    </w:p>
    <w:p>
      <w:pPr>
        <w:spacing w:after="80" w:line="276" w:lineRule="auto"/>
      </w:pPr>
      <w:r>
        <w:rPr>
          <w:rFonts w:ascii="Arial" w:hAnsi="Arial"/>
          <w:color w:val="3C4043"/>
          <w:sz w:val="21"/>
        </w:rPr>
        <w:t>When a Campus Manager or Senior Manager conducts an audit on a mentor, they click the green 'Record Audit' button in the top right. The review proceeds through three sequential verification stages:</w:t>
      </w:r>
    </w:p>
    <w:p>
      <w:pPr>
        <w:spacing w:before="200" w:after="80"/>
      </w:pPr>
      <w:r>
        <w:rPr>
          <w:rFonts w:ascii="Arial" w:hAnsi="Arial"/>
          <w:b/>
          <w:color w:val="1C2116"/>
          <w:sz w:val="24"/>
        </w:rPr>
        <w:t>Stage 1: Skill Development Entry</w:t>
      </w:r>
    </w:p>
    <w:p>
      <w:pPr>
        <w:pStyle w:val="ListBullet"/>
        <w:spacing w:after="60" w:line="276" w:lineRule="auto"/>
      </w:pPr>
      <w:r>
        <w:rPr>
          <w:rFonts w:ascii="Arial" w:hAnsi="Arial"/>
          <w:color w:val="3C4043"/>
          <w:sz w:val="21"/>
        </w:rPr>
        <w:t>Enter the Mentor Name, Department, Domain, and Subject Name.</w:t>
      </w:r>
    </w:p>
    <w:p>
      <w:pPr>
        <w:pStyle w:val="ListBullet"/>
        <w:spacing w:after="60" w:line="276" w:lineRule="auto"/>
      </w:pPr>
      <w:r>
        <w:rPr>
          <w:rFonts w:ascii="Arial" w:hAnsi="Arial"/>
          <w:color w:val="3C4043"/>
          <w:sz w:val="21"/>
        </w:rPr>
        <w:t>Answer the Genuineness Questions (Yes/No).</w:t>
      </w:r>
    </w:p>
    <w:p>
      <w:pPr>
        <w:pStyle w:val="ListBullet"/>
        <w:spacing w:after="60" w:line="276" w:lineRule="auto"/>
      </w:pPr>
      <w:r>
        <w:rPr>
          <w:rFonts w:ascii="Arial" w:hAnsi="Arial"/>
          <w:color w:val="3C4043"/>
          <w:sz w:val="21"/>
        </w:rPr>
        <w:t>For Assignment and Assessment questions marked 'Yes', attach a Google Drive / GitHub link or browse and upload the verification document.</w:t>
      </w:r>
    </w:p>
    <w:p>
      <w:pPr>
        <w:pStyle w:val="ListBullet"/>
        <w:spacing w:after="60" w:line="276" w:lineRule="auto"/>
      </w:pPr>
      <w:r>
        <w:rPr>
          <w:rFonts w:ascii="Arial" w:hAnsi="Arial"/>
          <w:color w:val="3C4043"/>
          <w:sz w:val="21"/>
        </w:rPr>
        <w:t>Enter the Tasks Assigned, Tasks Completed, and Average Student Completion numbers. The verification score (0 to 100) is calculated automatically.</w:t>
      </w:r>
    </w:p>
    <w:p>
      <w:pPr>
        <w:pStyle w:val="ListBullet"/>
        <w:spacing w:after="60" w:line="276" w:lineRule="auto"/>
      </w:pPr>
      <w:r>
        <w:rPr>
          <w:rFonts w:ascii="Arial" w:hAnsi="Arial"/>
          <w:color w:val="3C4043"/>
          <w:sz w:val="21"/>
        </w:rPr>
        <w:t>Click Continue.</w:t>
      </w:r>
    </w:p>
    <w:p>
      <w:pPr>
        <w:spacing w:before="200" w:after="80"/>
      </w:pPr>
      <w:r>
        <w:rPr>
          <w:rFonts w:ascii="Arial" w:hAnsi="Arial"/>
          <w:b/>
          <w:color w:val="1C2116"/>
          <w:sz w:val="24"/>
        </w:rPr>
        <w:t>Stage 2: Coursework Verification Entry</w:t>
      </w:r>
    </w:p>
    <w:p>
      <w:pPr>
        <w:pStyle w:val="ListBullet"/>
        <w:spacing w:after="60" w:line="276" w:lineRule="auto"/>
      </w:pPr>
      <w:r>
        <w:rPr>
          <w:rFonts w:ascii="Arial" w:hAnsi="Arial"/>
          <w:color w:val="3C4043"/>
          <w:sz w:val="21"/>
        </w:rPr>
        <w:t>Verify if the syllabus coverage and lab experiments are on schedule.</w:t>
      </w:r>
    </w:p>
    <w:p>
      <w:pPr>
        <w:pStyle w:val="ListBullet"/>
        <w:spacing w:after="60" w:line="276" w:lineRule="auto"/>
      </w:pPr>
      <w:r>
        <w:rPr>
          <w:rFonts w:ascii="Arial" w:hAnsi="Arial"/>
          <w:color w:val="3C4043"/>
          <w:sz w:val="21"/>
        </w:rPr>
        <w:t>Answer the genuineness checklist questions and enter remarks.</w:t>
      </w:r>
    </w:p>
    <w:p>
      <w:pPr>
        <w:pStyle w:val="ListBullet"/>
        <w:spacing w:after="60" w:line="276" w:lineRule="auto"/>
      </w:pPr>
      <w:r>
        <w:rPr>
          <w:rFonts w:ascii="Arial" w:hAnsi="Arial"/>
          <w:color w:val="3C4043"/>
          <w:sz w:val="21"/>
        </w:rPr>
        <w:t>Click Continue.</w:t>
      </w:r>
    </w:p>
    <w:p>
      <w:pPr>
        <w:spacing w:before="200" w:after="80"/>
      </w:pPr>
      <w:r>
        <w:rPr>
          <w:rFonts w:ascii="Arial" w:hAnsi="Arial"/>
          <w:b/>
          <w:color w:val="1C2116"/>
          <w:sz w:val="24"/>
        </w:rPr>
        <w:t>Stage 3: Attendance Verification Entry</w:t>
      </w:r>
    </w:p>
    <w:p>
      <w:pPr>
        <w:pStyle w:val="ListBullet"/>
        <w:spacing w:after="60" w:line="276" w:lineRule="auto"/>
      </w:pPr>
      <w:r>
        <w:rPr>
          <w:rFonts w:ascii="Arial" w:hAnsi="Arial"/>
          <w:color w:val="3C4043"/>
          <w:sz w:val="21"/>
        </w:rPr>
        <w:t>Enter the count of students with attendance below 75%.</w:t>
      </w:r>
    </w:p>
    <w:p>
      <w:pPr>
        <w:pStyle w:val="ListBullet"/>
        <w:spacing w:after="60" w:line="276" w:lineRule="auto"/>
      </w:pPr>
      <w:r>
        <w:rPr>
          <w:rFonts w:ascii="Arial" w:hAnsi="Arial"/>
          <w:color w:val="3C4043"/>
          <w:sz w:val="21"/>
        </w:rPr>
        <w:t>Answer the attendance genuineness checklist.</w:t>
      </w:r>
    </w:p>
    <w:p>
      <w:pPr>
        <w:pStyle w:val="ListBullet"/>
        <w:spacing w:after="60" w:line="276" w:lineRule="auto"/>
      </w:pPr>
      <w:r>
        <w:rPr>
          <w:rFonts w:ascii="Arial" w:hAnsi="Arial"/>
          <w:color w:val="3C4043"/>
          <w:sz w:val="21"/>
        </w:rPr>
        <w:t>Enter final submitter remarks and click Continue.</w:t>
      </w:r>
    </w:p>
    <w:p>
      <w:pPr>
        <w:spacing w:before="320" w:after="120"/>
      </w:pPr>
      <w:r>
        <w:rPr>
          <w:rFonts w:ascii="Arial" w:hAnsi="Arial"/>
          <w:b/>
          <w:color w:val="2E5B2C"/>
          <w:sz w:val="30"/>
        </w:rPr>
        <w:t>3. How Automatic Intra-KAM Peer Matching Works</w:t>
      </w:r>
    </w:p>
    <w:p>
      <w:pPr>
        <w:spacing w:after="80" w:line="276" w:lineRule="auto"/>
      </w:pPr>
      <w:r>
        <w:rPr>
          <w:rFonts w:ascii="Arial" w:hAnsi="Arial"/>
          <w:color w:val="3C4043"/>
          <w:sz w:val="21"/>
        </w:rPr>
        <w:t>As soon as Stage 3 is submitted, the system automatically routes the audit for peer review. There is ZERO manual intervention.</w:t>
      </w:r>
    </w:p>
    <w:p>
      <w:pPr>
        <w:pStyle w:val="ListBullet"/>
        <w:spacing w:after="60" w:line="276" w:lineRule="auto"/>
      </w:pPr>
      <w:r>
        <w:rPr>
          <w:rFonts w:ascii="Arial" w:hAnsi="Arial"/>
          <w:b/>
          <w:color w:val="1C2116"/>
          <w:sz w:val="21"/>
        </w:rPr>
        <w:t>Strict Intra-KAM Cluster:</w:t>
      </w:r>
      <w:r>
        <w:rPr>
          <w:rFonts w:ascii="Arial" w:hAnsi="Arial"/>
          <w:color w:val="3C4043"/>
          <w:sz w:val="21"/>
        </w:rPr>
        <w:t xml:space="preserve"> An audit submitted by SDNB Vaishnav (under Shyam Kumar) will ONLY be routed to another college within Chennai (e.g., AMET, Vinayaga Mission, Takshashila, TJS, or Patrician). It will NEVER go to Coimbatore or Bangalore.</w:t>
      </w:r>
    </w:p>
    <w:p>
      <w:pPr>
        <w:pStyle w:val="ListBullet"/>
        <w:spacing w:after="60" w:line="276" w:lineRule="auto"/>
      </w:pPr>
      <w:r>
        <w:rPr>
          <w:rFonts w:ascii="Arial" w:hAnsi="Arial"/>
          <w:b/>
          <w:color w:val="1C2116"/>
          <w:sz w:val="21"/>
        </w:rPr>
        <w:t>Zero Self-Auditing:</w:t>
      </w:r>
      <w:r>
        <w:rPr>
          <w:rFonts w:ascii="Arial" w:hAnsi="Arial"/>
          <w:color w:val="3C4043"/>
          <w:sz w:val="21"/>
        </w:rPr>
        <w:t xml:space="preserve"> A Campus Manager can NEVER review their own campus.</w:t>
      </w:r>
    </w:p>
    <w:p>
      <w:pPr>
        <w:pStyle w:val="ListBullet"/>
        <w:spacing w:after="60" w:line="276" w:lineRule="auto"/>
      </w:pPr>
      <w:r>
        <w:rPr>
          <w:rFonts w:ascii="Arial" w:hAnsi="Arial"/>
          <w:b/>
          <w:color w:val="1C2116"/>
          <w:sz w:val="21"/>
        </w:rPr>
        <w:t>6-Assignment Cooldown:</w:t>
      </w:r>
      <w:r>
        <w:rPr>
          <w:rFonts w:ascii="Arial" w:hAnsi="Arial"/>
          <w:color w:val="3C4043"/>
          <w:sz w:val="21"/>
        </w:rPr>
        <w:t xml:space="preserve"> The system tracks pairing history across months. The same two colleges will NOT be paired again for the next 5 to 6 audit assignments.</w:t>
      </w:r>
    </w:p>
    <w:p>
      <w:pPr>
        <w:pStyle w:val="ListBullet"/>
        <w:spacing w:after="60" w:line="276" w:lineRule="auto"/>
      </w:pPr>
      <w:r>
        <w:rPr>
          <w:rFonts w:ascii="Arial" w:hAnsi="Arial"/>
          <w:b/>
          <w:color w:val="1C2116"/>
          <w:sz w:val="21"/>
        </w:rPr>
        <w:t>Workload Balancing:</w:t>
      </w:r>
      <w:r>
        <w:rPr>
          <w:rFonts w:ascii="Arial" w:hAnsi="Arial"/>
          <w:color w:val="3C4043"/>
          <w:sz w:val="21"/>
        </w:rPr>
        <w:t xml:space="preserve"> The system checks recent review counts and assigns the audit to the peer campus manager who currently has the lowest audit queue load.</w:t>
      </w:r>
    </w:p>
    <w:p>
      <w:pPr>
        <w:spacing w:before="320" w:after="120"/>
      </w:pPr>
      <w:r>
        <w:rPr>
          <w:rFonts w:ascii="Arial" w:hAnsi="Arial"/>
          <w:b/>
          <w:color w:val="2E5B2C"/>
          <w:sz w:val="30"/>
        </w:rPr>
        <w:t>4. Automated Email Notification</w:t>
      </w:r>
    </w:p>
    <w:p>
      <w:pPr>
        <w:spacing w:after="80" w:line="276" w:lineRule="auto"/>
      </w:pPr>
      <w:r>
        <w:rPr>
          <w:rFonts w:ascii="Arial" w:hAnsi="Arial"/>
          <w:color w:val="3C4043"/>
          <w:sz w:val="21"/>
        </w:rPr>
        <w:t>Immediately upon submitting an audit:</w:t>
      </w:r>
    </w:p>
    <w:p>
      <w:pPr>
        <w:pStyle w:val="ListBullet"/>
        <w:spacing w:after="60" w:line="276" w:lineRule="auto"/>
      </w:pPr>
      <w:r>
        <w:rPr>
          <w:rFonts w:ascii="Arial" w:hAnsi="Arial"/>
          <w:color w:val="3C4043"/>
          <w:sz w:val="21"/>
        </w:rPr>
        <w:t>The system dispatches an automated assignment email to the assigned Reviewer Campus Manager.</w:t>
      </w:r>
    </w:p>
    <w:p>
      <w:pPr>
        <w:pStyle w:val="ListBullet"/>
        <w:spacing w:after="60" w:line="276" w:lineRule="auto"/>
      </w:pPr>
      <w:r>
        <w:rPr>
          <w:rFonts w:ascii="Arial" w:hAnsi="Arial"/>
          <w:color w:val="3C4043"/>
          <w:sz w:val="21"/>
        </w:rPr>
        <w:t>Subject: [Campus E-Audit Assignment] Peer Review Required for [Campus Name] - [Date]</w:t>
      </w:r>
    </w:p>
    <w:p>
      <w:pPr>
        <w:pStyle w:val="ListBullet"/>
        <w:spacing w:after="60" w:line="276" w:lineRule="auto"/>
      </w:pPr>
      <w:r>
        <w:rPr>
          <w:rFonts w:ascii="Arial" w:hAnsi="Arial"/>
          <w:color w:val="3C4043"/>
          <w:sz w:val="21"/>
        </w:rPr>
        <w:t>Body: Details the audited campus, mentor name, audit date, and instructs the reviewer to log in to complete the peer review.</w:t>
      </w:r>
    </w:p>
    <w:p>
      <w:pPr>
        <w:spacing w:before="320" w:after="120"/>
      </w:pPr>
      <w:r>
        <w:rPr>
          <w:rFonts w:ascii="Arial" w:hAnsi="Arial"/>
          <w:b/>
          <w:color w:val="2E5B2C"/>
          <w:sz w:val="30"/>
        </w:rPr>
        <w:t>5. How the Peer Reviewer Inspects &amp; Signs Off</w:t>
      </w:r>
    </w:p>
    <w:p>
      <w:pPr>
        <w:spacing w:after="80" w:line="276" w:lineRule="auto"/>
      </w:pPr>
      <w:r>
        <w:rPr>
          <w:rFonts w:ascii="Arial" w:hAnsi="Arial"/>
          <w:color w:val="3C4043"/>
          <w:sz w:val="21"/>
        </w:rPr>
        <w:t>When the assigned reviewer logs into Campus E-Audit:</w:t>
      </w:r>
    </w:p>
    <w:p>
      <w:pPr>
        <w:pStyle w:val="ListBullet"/>
        <w:spacing w:after="60" w:line="276" w:lineRule="auto"/>
      </w:pPr>
      <w:r>
        <w:rPr>
          <w:rFonts w:ascii="Arial" w:hAnsi="Arial"/>
          <w:b/>
          <w:color w:val="1C2116"/>
          <w:sz w:val="21"/>
        </w:rPr>
        <w:t>Step 1:</w:t>
      </w:r>
      <w:r>
        <w:rPr>
          <w:rFonts w:ascii="Arial" w:hAnsi="Arial"/>
          <w:color w:val="3C4043"/>
          <w:sz w:val="21"/>
        </w:rPr>
        <w:t>Go to the 'Internal Audit' tab in the navigation.</w:t>
      </w:r>
    </w:p>
    <w:p>
      <w:pPr>
        <w:pStyle w:val="ListBullet"/>
        <w:spacing w:after="60" w:line="276" w:lineRule="auto"/>
      </w:pPr>
      <w:r>
        <w:rPr>
          <w:rFonts w:ascii="Arial" w:hAnsi="Arial"/>
          <w:b/>
          <w:color w:val="1C2116"/>
          <w:sz w:val="21"/>
        </w:rPr>
        <w:t>Step 2:</w:t>
      </w:r>
      <w:r>
        <w:rPr>
          <w:rFonts w:ascii="Arial" w:hAnsi="Arial"/>
          <w:color w:val="3C4043"/>
          <w:sz w:val="21"/>
        </w:rPr>
        <w:t>In the 'Incoming Audits Assigned for Peer Review' dropdown, select the pending audit.</w:t>
      </w:r>
    </w:p>
    <w:p>
      <w:pPr>
        <w:pStyle w:val="ListBullet"/>
        <w:spacing w:after="60" w:line="276" w:lineRule="auto"/>
      </w:pPr>
      <w:r>
        <w:rPr>
          <w:rFonts w:ascii="Arial" w:hAnsi="Arial"/>
          <w:b/>
          <w:color w:val="1C2116"/>
          <w:sz w:val="21"/>
        </w:rPr>
        <w:t>Step 3:</w:t>
      </w:r>
      <w:r>
        <w:rPr>
          <w:rFonts w:ascii="Arial" w:hAnsi="Arial"/>
          <w:color w:val="3C4043"/>
          <w:sz w:val="21"/>
        </w:rPr>
        <w:t>An Evidence Preview Card automatically displays showing the auditee's Skill Development score, proof links, Coursework Verification score, Attendance score, and auditee remarks.</w:t>
      </w:r>
    </w:p>
    <w:p>
      <w:pPr>
        <w:pStyle w:val="ListBullet"/>
        <w:spacing w:after="60" w:line="276" w:lineRule="auto"/>
      </w:pPr>
      <w:r>
        <w:rPr>
          <w:rFonts w:ascii="Arial" w:hAnsi="Arial"/>
          <w:b/>
          <w:color w:val="1C2116"/>
          <w:sz w:val="21"/>
        </w:rPr>
        <w:t>Step 4:</w:t>
      </w:r>
      <w:r>
        <w:rPr>
          <w:rFonts w:ascii="Arial" w:hAnsi="Arial"/>
          <w:color w:val="3C4043"/>
          <w:sz w:val="21"/>
        </w:rPr>
        <w:t>The reviewer evaluates the 3 Reviewer Checkpoints (Consistent Logging, Skill Dev, Coursework).</w:t>
      </w:r>
    </w:p>
    <w:p>
      <w:pPr>
        <w:pStyle w:val="ListBullet"/>
        <w:spacing w:after="60" w:line="276" w:lineRule="auto"/>
      </w:pPr>
      <w:r>
        <w:rPr>
          <w:rFonts w:ascii="Arial" w:hAnsi="Arial"/>
          <w:b/>
          <w:color w:val="1C2116"/>
          <w:sz w:val="21"/>
        </w:rPr>
        <w:t>Step 5:</w:t>
      </w:r>
      <w:r>
        <w:rPr>
          <w:rFonts w:ascii="Arial" w:hAnsi="Arial"/>
          <w:color w:val="3C4043"/>
          <w:sz w:val="21"/>
        </w:rPr>
        <w:t>The reviewer types mandatory auditor notes and clicks 'Sign Off Peer Review'.</w:t>
      </w:r>
    </w:p>
    <w:p>
      <w:pPr>
        <w:pStyle w:val="ListBullet"/>
        <w:spacing w:after="60" w:line="276" w:lineRule="auto"/>
      </w:pPr>
      <w:r>
        <w:rPr>
          <w:rFonts w:ascii="Arial" w:hAnsi="Arial"/>
          <w:b/>
          <w:color w:val="1C2116"/>
          <w:sz w:val="21"/>
        </w:rPr>
        <w:t>Step 6:</w:t>
      </w:r>
      <w:r>
        <w:rPr>
          <w:rFonts w:ascii="Arial" w:hAnsi="Arial"/>
          <w:color w:val="3C4043"/>
          <w:sz w:val="21"/>
        </w:rPr>
        <w:t>The official audit record is marked 'Completed' and published to the reports log.</w:t>
      </w:r>
    </w:p>
    <w:p>
      <w:pPr>
        <w:spacing w:before="320" w:after="120"/>
      </w:pPr>
      <w:r>
        <w:rPr>
          <w:rFonts w:ascii="Arial" w:hAnsi="Arial"/>
          <w:b/>
          <w:color w:val="2E5B2C"/>
          <w:sz w:val="30"/>
        </w:rPr>
        <w:t>6. Who Can Do What? (Role Permissions)</w:t>
      </w:r>
    </w:p>
    <w:tbl>
      <w:tblPr>
        <w:tblW w:type="auto" w:w="0"/>
        <w:jc w:val="center"/>
        <w:tblLook w:firstColumn="1" w:firstRow="1" w:lastColumn="0" w:lastRow="0" w:noHBand="0" w:noVBand="1" w:val="04A0"/>
      </w:tblPr>
      <w:tblGrid>
        <w:gridCol w:w="3312"/>
        <w:gridCol w:w="3312"/>
        <w:gridCol w:w="3312"/>
      </w:tblGrid>
      <w:tr>
        <w:tc>
          <w:tcPr>
            <w:tcW w:type="dxa" w:w="3312"/>
            <w:shd w:fill="2E5B2C"/>
            <w:tcMar>
              <w:top w:w="120" w:type="dxa"/>
              <w:bottom w:w="120" w:type="dxa"/>
              <w:left w:w="140" w:type="dxa"/>
              <w:right w:w="140" w:type="dxa"/>
            </w:tcMar>
          </w:tcPr>
          <w:p>
            <w:r>
              <w:rPr>
                <w:rFonts w:ascii="Arial" w:hAnsi="Arial"/>
                <w:b/>
                <w:color w:val="FFFFFF"/>
                <w:sz w:val="20"/>
              </w:rPr>
              <w:t>Feature / Action</w:t>
            </w:r>
          </w:p>
        </w:tc>
        <w:tc>
          <w:tcPr>
            <w:tcW w:type="dxa" w:w="3312"/>
            <w:shd w:fill="2E5B2C"/>
            <w:tcMar>
              <w:top w:w="120" w:type="dxa"/>
              <w:bottom w:w="120" w:type="dxa"/>
              <w:left w:w="140" w:type="dxa"/>
              <w:right w:w="140" w:type="dxa"/>
            </w:tcMar>
          </w:tcPr>
          <w:p>
            <w:r>
              <w:rPr>
                <w:rFonts w:ascii="Arial" w:hAnsi="Arial"/>
                <w:b/>
                <w:color w:val="FFFFFF"/>
                <w:sz w:val="20"/>
              </w:rPr>
              <w:t>Campus Manager (CM)</w:t>
            </w:r>
          </w:p>
        </w:tc>
        <w:tc>
          <w:tcPr>
            <w:tcW w:type="dxa" w:w="3312"/>
            <w:shd w:fill="2E5B2C"/>
            <w:tcMar>
              <w:top w:w="120" w:type="dxa"/>
              <w:bottom w:w="120" w:type="dxa"/>
              <w:left w:w="140" w:type="dxa"/>
              <w:right w:w="140" w:type="dxa"/>
            </w:tcMar>
          </w:tcPr>
          <w:p>
            <w:r>
              <w:rPr>
                <w:rFonts w:ascii="Arial" w:hAnsi="Arial"/>
                <w:b/>
                <w:color w:val="FFFFFF"/>
                <w:sz w:val="20"/>
              </w:rPr>
              <w:t>Senior Manager (KAM)</w:t>
            </w:r>
          </w:p>
        </w:tc>
      </w:tr>
      <w:tr>
        <w:tc>
          <w:tcPr>
            <w:tcW w:type="dxa" w:w="3312"/>
            <w:shd w:fill="F7F9EC"/>
            <w:tcMar>
              <w:top w:w="100" w:type="dxa"/>
              <w:bottom w:w="100" w:type="dxa"/>
              <w:left w:w="120" w:type="dxa"/>
              <w:right w:w="120" w:type="dxa"/>
            </w:tcMar>
          </w:tcPr>
          <w:p>
            <w:r>
              <w:rPr>
                <w:rFonts w:ascii="Arial" w:hAnsi="Arial"/>
                <w:b/>
                <w:color w:val="1C2116"/>
                <w:sz w:val="19"/>
              </w:rPr>
              <w:t>Record / Create Audits</w:t>
            </w:r>
          </w:p>
        </w:tc>
        <w:tc>
          <w:tcPr>
            <w:tcW w:type="dxa" w:w="3312"/>
            <w:shd w:fill="F7F9EC"/>
            <w:tcMar>
              <w:top w:w="100" w:type="dxa"/>
              <w:bottom w:w="100" w:type="dxa"/>
              <w:left w:w="120" w:type="dxa"/>
              <w:right w:w="120" w:type="dxa"/>
            </w:tcMar>
          </w:tcPr>
          <w:p>
            <w:r>
              <w:rPr>
                <w:rFonts w:ascii="Arial" w:hAnsi="Arial"/>
                <w:color w:val="1C2116"/>
                <w:sz w:val="19"/>
              </w:rPr>
              <w:t>Yes (for own campus)</w:t>
            </w:r>
          </w:p>
        </w:tc>
        <w:tc>
          <w:tcPr>
            <w:tcW w:type="dxa" w:w="3312"/>
            <w:shd w:fill="F7F9EC"/>
            <w:tcMar>
              <w:top w:w="100" w:type="dxa"/>
              <w:bottom w:w="100" w:type="dxa"/>
              <w:left w:w="120" w:type="dxa"/>
              <w:right w:w="120" w:type="dxa"/>
            </w:tcMar>
          </w:tcPr>
          <w:p>
            <w:r>
              <w:rPr>
                <w:rFonts w:ascii="Arial" w:hAnsi="Arial"/>
                <w:color w:val="1C2116"/>
                <w:sz w:val="19"/>
              </w:rPr>
              <w:t>Yes (across cluster colleges)</w:t>
            </w:r>
          </w:p>
        </w:tc>
      </w:tr>
      <w:tr>
        <w:tc>
          <w:tcPr>
            <w:tcW w:type="dxa" w:w="3312"/>
            <w:shd w:fill="FFFFFF"/>
            <w:tcMar>
              <w:top w:w="100" w:type="dxa"/>
              <w:bottom w:w="100" w:type="dxa"/>
              <w:left w:w="120" w:type="dxa"/>
              <w:right w:w="120" w:type="dxa"/>
            </w:tcMar>
          </w:tcPr>
          <w:p>
            <w:r>
              <w:rPr>
                <w:rFonts w:ascii="Arial" w:hAnsi="Arial"/>
                <w:b/>
                <w:color w:val="1C2116"/>
                <w:sz w:val="19"/>
              </w:rPr>
              <w:t>Conduct Peer Reviews &amp; Sign Off</w:t>
            </w:r>
          </w:p>
        </w:tc>
        <w:tc>
          <w:tcPr>
            <w:tcW w:type="dxa" w:w="3312"/>
            <w:shd w:fill="FFFFFF"/>
            <w:tcMar>
              <w:top w:w="100" w:type="dxa"/>
              <w:bottom w:w="100" w:type="dxa"/>
              <w:left w:w="120" w:type="dxa"/>
              <w:right w:w="120" w:type="dxa"/>
            </w:tcMar>
          </w:tcPr>
          <w:p>
            <w:r>
              <w:rPr>
                <w:rFonts w:ascii="Arial" w:hAnsi="Arial"/>
                <w:color w:val="1C2116"/>
                <w:sz w:val="19"/>
              </w:rPr>
              <w:t>Yes (assigned cluster peers only)</w:t>
            </w:r>
          </w:p>
        </w:tc>
        <w:tc>
          <w:tcPr>
            <w:tcW w:type="dxa" w:w="3312"/>
            <w:shd w:fill="FFFFFF"/>
            <w:tcMar>
              <w:top w:w="100" w:type="dxa"/>
              <w:bottom w:w="100" w:type="dxa"/>
              <w:left w:w="120" w:type="dxa"/>
              <w:right w:w="120" w:type="dxa"/>
            </w:tcMar>
          </w:tcPr>
          <w:p>
            <w:r>
              <w:rPr>
                <w:rFonts w:ascii="Arial" w:hAnsi="Arial"/>
                <w:color w:val="1C2116"/>
                <w:sz w:val="19"/>
              </w:rPr>
              <w:t>NO (Policy restriction: peer reviews are strictly for CMs)</w:t>
            </w:r>
          </w:p>
        </w:tc>
      </w:tr>
      <w:tr>
        <w:tc>
          <w:tcPr>
            <w:tcW w:type="dxa" w:w="3312"/>
            <w:shd w:fill="F7F9EC"/>
            <w:tcMar>
              <w:top w:w="100" w:type="dxa"/>
              <w:bottom w:w="100" w:type="dxa"/>
              <w:left w:w="120" w:type="dxa"/>
              <w:right w:w="120" w:type="dxa"/>
            </w:tcMar>
          </w:tcPr>
          <w:p>
            <w:r>
              <w:rPr>
                <w:rFonts w:ascii="Arial" w:hAnsi="Arial"/>
                <w:b/>
                <w:color w:val="1C2116"/>
                <w:sz w:val="19"/>
              </w:rPr>
              <w:t>View Reports &amp; Dashboard</w:t>
            </w:r>
          </w:p>
        </w:tc>
        <w:tc>
          <w:tcPr>
            <w:tcW w:type="dxa" w:w="3312"/>
            <w:shd w:fill="F7F9EC"/>
            <w:tcMar>
              <w:top w:w="100" w:type="dxa"/>
              <w:bottom w:w="100" w:type="dxa"/>
              <w:left w:w="120" w:type="dxa"/>
              <w:right w:w="120" w:type="dxa"/>
            </w:tcMar>
          </w:tcPr>
          <w:p>
            <w:r>
              <w:rPr>
                <w:rFonts w:ascii="Arial" w:hAnsi="Arial"/>
                <w:color w:val="1C2116"/>
                <w:sz w:val="19"/>
              </w:rPr>
              <w:t>Yes (scoped to campus &amp; cluster)</w:t>
            </w:r>
          </w:p>
        </w:tc>
        <w:tc>
          <w:tcPr>
            <w:tcW w:type="dxa" w:w="3312"/>
            <w:shd w:fill="F7F9EC"/>
            <w:tcMar>
              <w:top w:w="100" w:type="dxa"/>
              <w:bottom w:w="100" w:type="dxa"/>
              <w:left w:w="120" w:type="dxa"/>
              <w:right w:w="120" w:type="dxa"/>
            </w:tcMar>
          </w:tcPr>
          <w:p>
            <w:r>
              <w:rPr>
                <w:rFonts w:ascii="Arial" w:hAnsi="Arial"/>
                <w:color w:val="1C2116"/>
                <w:sz w:val="19"/>
              </w:rPr>
              <w:t>Yes (scoped to cluster colleges)</w:t>
            </w:r>
          </w:p>
        </w:tc>
      </w:tr>
    </w:tbl>
    <w:p>
      <w:pPr>
        <w:spacing w:after="240"/>
      </w:pPr>
    </w:p>
    <w:p>
      <w:pPr>
        <w:spacing w:before="320" w:after="120"/>
      </w:pPr>
      <w:r>
        <w:rPr>
          <w:rFonts w:ascii="Arial" w:hAnsi="Arial"/>
          <w:b/>
          <w:color w:val="2E5B2C"/>
          <w:sz w:val="30"/>
        </w:rPr>
        <w:t>7. The 4 Regional KAM Clusters (26 Colleges)</w:t>
      </w:r>
    </w:p>
    <w:tbl>
      <w:tblPr>
        <w:tblW w:type="auto" w:w="0"/>
        <w:jc w:val="center"/>
        <w:tblLook w:firstColumn="1" w:firstRow="1" w:lastColumn="0" w:lastRow="0" w:noHBand="0" w:noVBand="1" w:val="04A0"/>
      </w:tblPr>
      <w:tblGrid>
        <w:gridCol w:w="3312"/>
        <w:gridCol w:w="3312"/>
        <w:gridCol w:w="3312"/>
      </w:tblGrid>
      <w:tr>
        <w:tc>
          <w:tcPr>
            <w:tcW w:type="dxa" w:w="3312"/>
            <w:shd w:fill="3B4522"/>
            <w:tcMar>
              <w:top w:w="120" w:type="dxa"/>
              <w:bottom w:w="120" w:type="dxa"/>
              <w:left w:w="140" w:type="dxa"/>
              <w:right w:w="140" w:type="dxa"/>
            </w:tcMar>
          </w:tcPr>
          <w:p>
            <w:r>
              <w:rPr>
                <w:rFonts w:ascii="Arial" w:hAnsi="Arial"/>
                <w:b/>
                <w:color w:val="FFFFFF"/>
                <w:sz w:val="20"/>
              </w:rPr>
              <w:t>Cluster Region</w:t>
            </w:r>
          </w:p>
        </w:tc>
        <w:tc>
          <w:tcPr>
            <w:tcW w:type="dxa" w:w="3312"/>
            <w:shd w:fill="3B4522"/>
            <w:tcMar>
              <w:top w:w="120" w:type="dxa"/>
              <w:bottom w:w="120" w:type="dxa"/>
              <w:left w:w="140" w:type="dxa"/>
              <w:right w:w="140" w:type="dxa"/>
            </w:tcMar>
          </w:tcPr>
          <w:p>
            <w:r>
              <w:rPr>
                <w:rFonts w:ascii="Arial" w:hAnsi="Arial"/>
                <w:b/>
                <w:color w:val="FFFFFF"/>
                <w:sz w:val="20"/>
              </w:rPr>
              <w:t>Senior Manager (KAM)</w:t>
            </w:r>
          </w:p>
        </w:tc>
        <w:tc>
          <w:tcPr>
            <w:tcW w:type="dxa" w:w="3312"/>
            <w:shd w:fill="3B4522"/>
            <w:tcMar>
              <w:top w:w="120" w:type="dxa"/>
              <w:bottom w:w="120" w:type="dxa"/>
              <w:left w:w="140" w:type="dxa"/>
              <w:right w:w="140" w:type="dxa"/>
            </w:tcMar>
          </w:tcPr>
          <w:p>
            <w:r>
              <w:rPr>
                <w:rFonts w:ascii="Arial" w:hAnsi="Arial"/>
                <w:b/>
                <w:color w:val="FFFFFF"/>
                <w:sz w:val="20"/>
              </w:rPr>
              <w:t>Colleges in Cluster</w:t>
            </w:r>
          </w:p>
        </w:tc>
      </w:tr>
      <w:tr>
        <w:tc>
          <w:tcPr>
            <w:tcW w:type="dxa" w:w="3312"/>
            <w:shd w:fill="F7F9EC"/>
            <w:tcMar>
              <w:top w:w="100" w:type="dxa"/>
              <w:bottom w:w="100" w:type="dxa"/>
              <w:left w:w="120" w:type="dxa"/>
              <w:right w:w="120" w:type="dxa"/>
            </w:tcMar>
          </w:tcPr>
          <w:p>
            <w:r>
              <w:rPr>
                <w:rFonts w:ascii="Arial" w:hAnsi="Arial"/>
                <w:b/>
                <w:color w:val="1C2116"/>
                <w:sz w:val="19"/>
              </w:rPr>
              <w:t>Chennai</w:t>
            </w:r>
          </w:p>
        </w:tc>
        <w:tc>
          <w:tcPr>
            <w:tcW w:type="dxa" w:w="3312"/>
            <w:shd w:fill="F7F9EC"/>
            <w:tcMar>
              <w:top w:w="100" w:type="dxa"/>
              <w:bottom w:w="100" w:type="dxa"/>
              <w:left w:w="120" w:type="dxa"/>
              <w:right w:w="120" w:type="dxa"/>
            </w:tcMar>
          </w:tcPr>
          <w:p>
            <w:r>
              <w:rPr>
                <w:rFonts w:ascii="Arial" w:hAnsi="Arial"/>
                <w:b/>
                <w:color w:val="1C2116"/>
                <w:sz w:val="19"/>
              </w:rPr>
              <w:t>Shyam Kumar</w:t>
            </w:r>
          </w:p>
        </w:tc>
        <w:tc>
          <w:tcPr>
            <w:tcW w:type="dxa" w:w="3312"/>
            <w:shd w:fill="F7F9EC"/>
            <w:tcMar>
              <w:top w:w="100" w:type="dxa"/>
              <w:bottom w:w="100" w:type="dxa"/>
              <w:left w:w="120" w:type="dxa"/>
              <w:right w:w="120" w:type="dxa"/>
            </w:tcMar>
          </w:tcPr>
          <w:p>
            <w:r>
              <w:rPr>
                <w:rFonts w:ascii="Arial" w:hAnsi="Arial"/>
                <w:color w:val="1C2116"/>
                <w:sz w:val="19"/>
              </w:rPr>
              <w:t>SDNB Vaishnav, AMET University, Vinayaga Mission, Takshashila University, TJS College, Patrician College</w:t>
            </w:r>
          </w:p>
        </w:tc>
      </w:tr>
      <w:tr>
        <w:tc>
          <w:tcPr>
            <w:tcW w:type="dxa" w:w="3312"/>
            <w:shd w:fill="FFFFFF"/>
            <w:tcMar>
              <w:top w:w="100" w:type="dxa"/>
              <w:bottom w:w="100" w:type="dxa"/>
              <w:left w:w="120" w:type="dxa"/>
              <w:right w:w="120" w:type="dxa"/>
            </w:tcMar>
          </w:tcPr>
          <w:p>
            <w:r>
              <w:rPr>
                <w:rFonts w:ascii="Arial" w:hAnsi="Arial"/>
                <w:b/>
                <w:color w:val="1C2116"/>
                <w:sz w:val="19"/>
              </w:rPr>
              <w:t>KA and KL</w:t>
            </w:r>
          </w:p>
        </w:tc>
        <w:tc>
          <w:tcPr>
            <w:tcW w:type="dxa" w:w="3312"/>
            <w:shd w:fill="FFFFFF"/>
            <w:tcMar>
              <w:top w:w="100" w:type="dxa"/>
              <w:bottom w:w="100" w:type="dxa"/>
              <w:left w:w="120" w:type="dxa"/>
              <w:right w:w="120" w:type="dxa"/>
            </w:tcMar>
          </w:tcPr>
          <w:p>
            <w:r>
              <w:rPr>
                <w:rFonts w:ascii="Arial" w:hAnsi="Arial"/>
                <w:b/>
                <w:color w:val="1C2116"/>
                <w:sz w:val="19"/>
              </w:rPr>
              <w:t>Praveen Rao</w:t>
            </w:r>
          </w:p>
        </w:tc>
        <w:tc>
          <w:tcPr>
            <w:tcW w:type="dxa" w:w="3312"/>
            <w:shd w:fill="FFFFFF"/>
            <w:tcMar>
              <w:top w:w="100" w:type="dxa"/>
              <w:bottom w:w="100" w:type="dxa"/>
              <w:left w:w="120" w:type="dxa"/>
              <w:right w:w="120" w:type="dxa"/>
            </w:tcMar>
          </w:tcPr>
          <w:p>
            <w:r>
              <w:rPr>
                <w:rFonts w:ascii="Arial" w:hAnsi="Arial"/>
                <w:color w:val="1C2116"/>
                <w:sz w:val="19"/>
              </w:rPr>
              <w:t>Alliance University, Kristu Jayathi University, St. Agnes College, Asian School of Business, S-VYASA University</w:t>
            </w:r>
          </w:p>
        </w:tc>
      </w:tr>
      <w:tr>
        <w:tc>
          <w:tcPr>
            <w:tcW w:type="dxa" w:w="3312"/>
            <w:shd w:fill="F7F9EC"/>
            <w:tcMar>
              <w:top w:w="100" w:type="dxa"/>
              <w:bottom w:w="100" w:type="dxa"/>
              <w:left w:w="120" w:type="dxa"/>
              <w:right w:w="120" w:type="dxa"/>
            </w:tcMar>
          </w:tcPr>
          <w:p>
            <w:r>
              <w:rPr>
                <w:rFonts w:ascii="Arial" w:hAnsi="Arial"/>
                <w:b/>
                <w:color w:val="1C2116"/>
                <w:sz w:val="19"/>
              </w:rPr>
              <w:t>Rest of TN</w:t>
            </w:r>
          </w:p>
        </w:tc>
        <w:tc>
          <w:tcPr>
            <w:tcW w:type="dxa" w:w="3312"/>
            <w:shd w:fill="F7F9EC"/>
            <w:tcMar>
              <w:top w:w="100" w:type="dxa"/>
              <w:bottom w:w="100" w:type="dxa"/>
              <w:left w:w="120" w:type="dxa"/>
              <w:right w:w="120" w:type="dxa"/>
            </w:tcMar>
          </w:tcPr>
          <w:p>
            <w:r>
              <w:rPr>
                <w:rFonts w:ascii="Arial" w:hAnsi="Arial"/>
                <w:b/>
                <w:color w:val="1C2116"/>
                <w:sz w:val="19"/>
              </w:rPr>
              <w:t>Guna Karthick</w:t>
            </w:r>
          </w:p>
        </w:tc>
        <w:tc>
          <w:tcPr>
            <w:tcW w:type="dxa" w:w="3312"/>
            <w:shd w:fill="F7F9EC"/>
            <w:tcMar>
              <w:top w:w="100" w:type="dxa"/>
              <w:bottom w:w="100" w:type="dxa"/>
              <w:left w:w="120" w:type="dxa"/>
              <w:right w:w="120" w:type="dxa"/>
            </w:tcMar>
          </w:tcPr>
          <w:p>
            <w:r>
              <w:rPr>
                <w:rFonts w:ascii="Arial" w:hAnsi="Arial"/>
                <w:color w:val="1C2116"/>
                <w:sz w:val="19"/>
              </w:rPr>
              <w:t>Kamaraj College, Kamaraj Women's College, NICHE, Sri Amaraavathi College, Bharathidasan College, Nagarathinam Angalammal College, TERF's College, Sasurie College</w:t>
            </w:r>
          </w:p>
        </w:tc>
      </w:tr>
      <w:tr>
        <w:tc>
          <w:tcPr>
            <w:tcW w:type="dxa" w:w="3312"/>
            <w:shd w:fill="FFFFFF"/>
            <w:tcMar>
              <w:top w:w="100" w:type="dxa"/>
              <w:bottom w:w="100" w:type="dxa"/>
              <w:left w:w="120" w:type="dxa"/>
              <w:right w:w="120" w:type="dxa"/>
            </w:tcMar>
          </w:tcPr>
          <w:p>
            <w:r>
              <w:rPr>
                <w:rFonts w:ascii="Arial" w:hAnsi="Arial"/>
                <w:b/>
                <w:color w:val="1C2116"/>
                <w:sz w:val="19"/>
              </w:rPr>
              <w:t>Coimbatore</w:t>
            </w:r>
          </w:p>
        </w:tc>
        <w:tc>
          <w:tcPr>
            <w:tcW w:type="dxa" w:w="3312"/>
            <w:shd w:fill="FFFFFF"/>
            <w:tcMar>
              <w:top w:w="100" w:type="dxa"/>
              <w:bottom w:w="100" w:type="dxa"/>
              <w:left w:w="120" w:type="dxa"/>
              <w:right w:w="120" w:type="dxa"/>
            </w:tcMar>
          </w:tcPr>
          <w:p>
            <w:r>
              <w:rPr>
                <w:rFonts w:ascii="Arial" w:hAnsi="Arial"/>
                <w:b/>
                <w:color w:val="1C2116"/>
                <w:sz w:val="19"/>
              </w:rPr>
              <w:t>New KAM</w:t>
            </w:r>
          </w:p>
        </w:tc>
        <w:tc>
          <w:tcPr>
            <w:tcW w:type="dxa" w:w="3312"/>
            <w:shd w:fill="FFFFFF"/>
            <w:tcMar>
              <w:top w:w="100" w:type="dxa"/>
              <w:bottom w:w="100" w:type="dxa"/>
              <w:left w:w="120" w:type="dxa"/>
              <w:right w:w="120" w:type="dxa"/>
            </w:tcMar>
          </w:tcPr>
          <w:p>
            <w:r>
              <w:rPr>
                <w:rFonts w:ascii="Arial" w:hAnsi="Arial"/>
                <w:color w:val="1C2116"/>
                <w:sz w:val="19"/>
              </w:rPr>
              <w:t>Rathinam College, Sree Saraswathi Thyagaraja, VLB Janakiammal, Hindusthan College, Kongunadu College, Sri Ramakrishna College for Women, Study World Group</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