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aps/>
          <w:color w:val="888888"/>
          <w:sz w:val="20"/>
          <w:szCs w:val="20"/>
        </w:rPr>
        <w:t xml:space="preserve">GELDIUM FINANCIAL SERVICES</w:t>
      </w:r>
    </w:p>
    <w:p>
      <w:pPr>
        <w:spacing w:after="120" w:before="0"/>
        <w:jc w:val="center"/>
      </w:pPr>
      <w:r>
        <w:rPr>
          <w:rFonts w:ascii="Arial" w:cs="Arial" w:eastAsia="Arial" w:hAnsi="Arial"/>
          <w:b/>
          <w:bCs/>
          <w:color w:val="1F4E79"/>
          <w:sz w:val="52"/>
          <w:szCs w:val="52"/>
        </w:rPr>
        <w:t xml:space="preserve">Predictive Model Plan</w:t>
      </w:r>
    </w:p>
    <w:p>
      <w:pPr>
        <w:spacing w:after="80" w:before="0"/>
        <w:jc w:val="center"/>
      </w:pPr>
      <w:r>
        <w:rPr>
          <w:rFonts w:ascii="Arial" w:cs="Arial" w:eastAsia="Arial" w:hAnsi="Arial"/>
          <w:color w:val="1A6B72"/>
          <w:sz w:val="30"/>
          <w:szCs w:val="30"/>
        </w:rPr>
        <w:t xml:space="preserve">Credit Delinquency Risk Forecasting</w:t>
      </w:r>
    </w:p>
    <w:p>
      <w:pPr>
        <w:spacing w:after="0" w:before="80"/>
      </w:pPr>
      <w:r>
        <w:t xml:space="preserve"/>
      </w:r>
    </w:p>
    <w:p>
      <w:pPr>
        <w:pBdr>
          <w:bottom w:val="single" w:color="2E75B6" w:sz="6" w:space="4"/>
        </w:pBdr>
        <w:spacing w:after="200" w:before="0"/>
        <w:jc w:val="center"/>
      </w:pPr>
      <w:r>
        <w:t xml:space="preserve"/>
      </w:r>
    </w:p>
    <w:p>
      <w:pPr>
        <w:spacing w:after="0" w:before="200"/>
      </w:pPr>
      <w:r>
        <w:t xml:space="preserve"/>
      </w:r>
    </w:p>
    <w:p>
      <w:pPr>
        <w:spacing w:after="60" w:before="0"/>
        <w:jc w:val="center"/>
      </w:pPr>
      <w:r>
        <w:rPr>
          <w:rFonts w:ascii="Arial" w:cs="Arial" w:eastAsia="Arial" w:hAnsi="Arial"/>
          <w:color w:val="555555"/>
          <w:sz w:val="22"/>
          <w:szCs w:val="22"/>
        </w:rPr>
        <w:t xml:space="preserve">Task 2 Submission  |  Tata Data Analytics Programme</w:t>
      </w:r>
    </w:p>
    <w:p>
      <w:pPr>
        <w:spacing w:after="0" w:before="8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 Model Logic (Generated with GenAI)</w:t>
      </w:r>
    </w:p>
    <w:p>
      <w:pPr>
        <w:spacing w:after="0" w:before="60"/>
      </w:pPr>
      <w:r>
        <w:t xml:space="preserve"/>
      </w:r>
    </w:p>
    <w:p>
      <w:pPr>
        <w:pStyle w:val="Heading2"/>
        <w:spacing w:after="100" w:before="240"/>
      </w:pPr>
      <w:r>
        <w:rPr>
          <w:rFonts w:ascii="Arial" w:cs="Arial" w:eastAsia="Arial" w:hAnsi="Arial"/>
          <w:b/>
          <w:bCs/>
          <w:color w:val="1A6B72"/>
          <w:sz w:val="26"/>
          <w:szCs w:val="26"/>
        </w:rPr>
        <w:t xml:space="preserve">1.1  Overview</w:t>
      </w:r>
    </w:p>
    <w:p>
      <w:pPr>
        <w:spacing w:after="100" w:before="80"/>
      </w:pPr>
      <w:r>
        <w:rPr>
          <w:rFonts w:ascii="Arial" w:cs="Arial" w:eastAsia="Arial" w:hAnsi="Arial"/>
          <w:sz w:val="22"/>
          <w:szCs w:val="22"/>
        </w:rPr>
        <w:t xml:space="preserve">The goal of this model is to predict which Geldium customers are most likely to become delinquent — that is, to miss required debt payments. Using supervised machine learning, the model learns patterns from historical financial and behavioural data and outputs a delinquency probability score (0–1) for each customer.</w:t>
      </w:r>
    </w:p>
    <w:p>
      <w:pPr>
        <w:spacing w:after="0" w:before="60"/>
      </w:pPr>
      <w:r>
        <w:t xml:space="preserve"/>
      </w:r>
    </w:p>
    <w:p>
      <w:pPr>
        <w:pStyle w:val="Heading2"/>
        <w:spacing w:after="100" w:before="240"/>
      </w:pPr>
      <w:r>
        <w:rPr>
          <w:rFonts w:ascii="Arial" w:cs="Arial" w:eastAsia="Arial" w:hAnsi="Arial"/>
          <w:b/>
          <w:bCs/>
          <w:color w:val="1A6B72"/>
          <w:sz w:val="26"/>
          <w:szCs w:val="26"/>
        </w:rPr>
        <w:t xml:space="preserve">1.2  Chosen Model: Gradient Boosted Decision Trees (XGBoost)</w:t>
      </w:r>
    </w:p>
    <w:p>
      <w:pPr>
        <w:spacing w:after="100" w:before="80"/>
      </w:pPr>
      <w:r>
        <w:rPr>
          <w:rFonts w:ascii="Arial" w:cs="Arial" w:eastAsia="Arial" w:hAnsi="Arial"/>
          <w:sz w:val="22"/>
          <w:szCs w:val="22"/>
        </w:rPr>
        <w:t xml:space="preserve">After evaluating a simple baseline (Logistic Regression) and a more complex option (Neural Network), Gradient Boosted Decision Trees — specifically XGBoost — is recommended as the primary model. It delivers high predictive accuracy on tabular financial data, handles missing values natively, and produces feature importance scores that support regulatory explainability.</w:t>
      </w:r>
    </w:p>
    <w:p>
      <w:pPr>
        <w:spacing w:after="0" w:before="60"/>
      </w:pPr>
      <w:r>
        <w:t xml:space="preserve"/>
      </w:r>
    </w:p>
    <w:p>
      <w:pPr>
        <w:pStyle w:val="Heading2"/>
        <w:spacing w:after="100" w:before="240"/>
      </w:pPr>
      <w:r>
        <w:rPr>
          <w:rFonts w:ascii="Arial" w:cs="Arial" w:eastAsia="Arial" w:hAnsi="Arial"/>
          <w:b/>
          <w:bCs/>
          <w:color w:val="1A6B72"/>
          <w:sz w:val="26"/>
          <w:szCs w:val="26"/>
        </w:rPr>
        <w:t xml:space="preserve">1.3  Top 5 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Feature</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Rationale</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Direction of Risk</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Missed_Payments</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Direct indicator of past repayment failure — strongest single predictor of future default.</w:t>
            </w:r>
          </w:p>
        </w:tc>
        <w:tc>
          <w:tcPr>
            <w:tcW w:type="dxa" w:w="2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More missed → higher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Credit_Utilization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utilisation signals financial stress and over-reliance on credit.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 → higher risk</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Debt_to_Income_Ratio</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Measures repayment burden relative to earnings; widely used in credit scoring.</w:t>
            </w:r>
          </w:p>
        </w:tc>
        <w:tc>
          <w:tcPr>
            <w:tcW w:type="dxa" w:w="2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Higher ratio → higher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Month_1–Month_6 (Payment History)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Six-month payment behaviour provides a time-series view of deteriorating or improving habits.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of late/missed → risk</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Credit_Score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Aggregated creditworthiness score that encapsulates broader financial history.</w:t>
            </w:r>
          </w:p>
        </w:tc>
        <w:tc>
          <w:tcPr>
            <w:tcW w:type="dxa" w:w="2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Lower score → higher risk</w:t>
            </w:r>
          </w:p>
        </w:tc>
      </w:tr>
    </w:tbl>
    <w:p>
      <w:pPr>
        <w:spacing w:after="0" w:before="120"/>
      </w:pPr>
      <w:r>
        <w:t xml:space="preserve"/>
      </w:r>
    </w:p>
    <w:p>
      <w:pPr>
        <w:pStyle w:val="Heading2"/>
        <w:spacing w:after="100" w:before="240"/>
      </w:pPr>
      <w:r>
        <w:rPr>
          <w:rFonts w:ascii="Arial" w:cs="Arial" w:eastAsia="Arial" w:hAnsi="Arial"/>
          <w:b/>
          <w:bCs/>
          <w:color w:val="1A6B72"/>
          <w:sz w:val="26"/>
          <w:szCs w:val="26"/>
        </w:rPr>
        <w:t xml:space="preserve">1.4  Model Pipeline (Pseudocode)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7FF" w:val="clear"/>
            <w:tcMar>
              <w:top w:type="dxa" w:w="160"/>
              <w:left w:type="dxa" w:w="200"/>
              <w:bottom w:type="dxa" w:w="160"/>
              <w:right w:type="dxa" w:w="200"/>
            </w:tcMar>
          </w:tcPr>
          <w:p>
            <w:pPr>
              <w:spacing w:after="100" w:before="60"/>
            </w:pPr>
            <w:r>
              <w:rPr>
                <w:rFonts w:ascii="Arial" w:cs="Arial" w:eastAsia="Arial" w:hAnsi="Arial"/>
                <w:b/>
                <w:bCs/>
                <w:color w:val="1F4E79"/>
                <w:sz w:val="22"/>
                <w:szCs w:val="22"/>
              </w:rPr>
              <w:t xml:space="preserve">Step-by-step model workflow</w:t>
            </w:r>
          </w:p>
          <w:p>
            <w:pPr>
              <w:spacing w:after="60" w:before="60"/>
            </w:pPr>
            <w:r>
              <w:rPr>
                <w:rFonts w:ascii="Arial" w:cs="Arial" w:eastAsia="Arial" w:hAnsi="Arial"/>
                <w:sz w:val="21"/>
                <w:szCs w:val="21"/>
              </w:rPr>
              <w:t xml:space="preserve">1. DATA INGESTION</w:t>
            </w:r>
          </w:p>
          <w:p>
            <w:pPr>
              <w:spacing w:after="60" w:before="60"/>
            </w:pPr>
            <w:r>
              <w:rPr>
                <w:rFonts w:ascii="Arial" w:cs="Arial" w:eastAsia="Arial" w:hAnsi="Arial"/>
                <w:sz w:val="21"/>
                <w:szCs w:val="21"/>
              </w:rPr>
              <w:t xml:space="preserve">   Load Delinquency_prediction_dataset.xlsx; validate schema and column types.</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2. PREPROCESSING</w:t>
            </w:r>
          </w:p>
          <w:p>
            <w:pPr>
              <w:spacing w:after="60" w:before="60"/>
            </w:pPr>
            <w:r>
              <w:rPr>
                <w:rFonts w:ascii="Arial" w:cs="Arial" w:eastAsia="Arial" w:hAnsi="Arial"/>
                <w:sz w:val="21"/>
                <w:szCs w:val="21"/>
              </w:rPr>
              <w:t xml:space="preserve">   • Impute missing Income values with median (MAR assumption).</w:t>
            </w:r>
          </w:p>
          <w:p>
            <w:pPr>
              <w:spacing w:after="60" w:before="60"/>
            </w:pPr>
            <w:r>
              <w:rPr>
                <w:rFonts w:ascii="Arial" w:cs="Arial" w:eastAsia="Arial" w:hAnsi="Arial"/>
                <w:sz w:val="21"/>
                <w:szCs w:val="21"/>
              </w:rPr>
              <w:t xml:space="preserve">   • Encode Employment_Status, Credit_Card_Type, Location using one-hot encoding.</w:t>
            </w:r>
          </w:p>
          <w:p>
            <w:pPr>
              <w:spacing w:after="60" w:before="60"/>
            </w:pPr>
            <w:r>
              <w:rPr>
                <w:rFonts w:ascii="Arial" w:cs="Arial" w:eastAsia="Arial" w:hAnsi="Arial"/>
                <w:sz w:val="21"/>
                <w:szCs w:val="21"/>
              </w:rPr>
              <w:t xml:space="preserve">   • Scale numerical features (Income, Loan_Balance, Debt_to_Income_Ratio) via StandardScaler.</w:t>
            </w:r>
          </w:p>
          <w:p>
            <w:pPr>
              <w:spacing w:after="60" w:before="60"/>
            </w:pPr>
            <w:r>
              <w:rPr>
                <w:rFonts w:ascii="Arial" w:cs="Arial" w:eastAsia="Arial" w:hAnsi="Arial"/>
                <w:sz w:val="21"/>
                <w:szCs w:val="21"/>
              </w:rPr>
              <w:t xml:space="preserve">   • Derive aggregate feature: missed_payment_trend = sum(Month_1 … Month_6).</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3. TRAIN / TEST SPLIT</w:t>
            </w:r>
          </w:p>
          <w:p>
            <w:pPr>
              <w:spacing w:after="60" w:before="60"/>
            </w:pPr>
            <w:r>
              <w:rPr>
                <w:rFonts w:ascii="Arial" w:cs="Arial" w:eastAsia="Arial" w:hAnsi="Arial"/>
                <w:sz w:val="21"/>
                <w:szCs w:val="21"/>
              </w:rPr>
              <w:t xml:space="preserve">   Stratified split — 80% training, 20% holdout — preserving the class imbalance ratio.</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4. CLASS IMBALANCE HANDLING</w:t>
            </w:r>
          </w:p>
          <w:p>
            <w:pPr>
              <w:spacing w:after="60" w:before="60"/>
            </w:pPr>
            <w:r>
              <w:rPr>
                <w:rFonts w:ascii="Arial" w:cs="Arial" w:eastAsia="Arial" w:hAnsi="Arial"/>
                <w:sz w:val="21"/>
                <w:szCs w:val="21"/>
              </w:rPr>
              <w:t xml:space="preserve">   Apply SMOTE (Synthetic Minority Over-sampling Technique) on training data only.</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5. MODEL TRAINING</w:t>
            </w:r>
          </w:p>
          <w:p>
            <w:pPr>
              <w:spacing w:after="60" w:before="60"/>
            </w:pPr>
            <w:r>
              <w:rPr>
                <w:rFonts w:ascii="Arial" w:cs="Arial" w:eastAsia="Arial" w:hAnsi="Arial"/>
                <w:sz w:val="21"/>
                <w:szCs w:val="21"/>
              </w:rPr>
              <w:t xml:space="preserve">   Fit XGBoost classifier on resampled training set.</w:t>
            </w:r>
          </w:p>
          <w:p>
            <w:pPr>
              <w:spacing w:after="60" w:before="60"/>
            </w:pPr>
            <w:r>
              <w:rPr>
                <w:rFonts w:ascii="Arial" w:cs="Arial" w:eastAsia="Arial" w:hAnsi="Arial"/>
                <w:sz w:val="21"/>
                <w:szCs w:val="21"/>
              </w:rPr>
              <w:t xml:space="preserve">   Tune hyperparameters (max_depth, learning_rate, n_estimators) via 5-fold cross-validation.</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6. PREDICTION</w:t>
            </w:r>
          </w:p>
          <w:p>
            <w:pPr>
              <w:spacing w:after="60" w:before="60"/>
            </w:pPr>
            <w:r>
              <w:rPr>
                <w:rFonts w:ascii="Arial" w:cs="Arial" w:eastAsia="Arial" w:hAnsi="Arial"/>
                <w:sz w:val="21"/>
                <w:szCs w:val="21"/>
              </w:rPr>
              <w:t xml:space="preserve">   model.predict_proba(X_test) → delinquency probability score per customer.</w:t>
            </w:r>
          </w:p>
          <w:p>
            <w:pPr>
              <w:spacing w:after="60" w:before="60"/>
            </w:pPr>
            <w:r>
              <w:rPr>
                <w:rFonts w:ascii="Arial" w:cs="Arial" w:eastAsia="Arial" w:hAnsi="Arial"/>
                <w:sz w:val="21"/>
                <w:szCs w:val="21"/>
              </w:rPr>
              <w:t xml:space="preserve">   Apply threshold (default 0.5, tuned for F1 maximisation) to produce binary label.</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7. OUTPUT</w:t>
            </w:r>
          </w:p>
          <w:p>
            <w:pPr>
              <w:spacing w:after="60" w:before="60"/>
            </w:pPr>
            <w:r>
              <w:rPr>
                <w:rFonts w:ascii="Arial" w:cs="Arial" w:eastAsia="Arial" w:hAnsi="Arial"/>
                <w:sz w:val="21"/>
                <w:szCs w:val="21"/>
              </w:rPr>
              <w:t xml:space="preserve">   Customer-level risk score + binary flag (Delinquent / Not Delinquent).</w:t>
            </w:r>
          </w:p>
        </w:tc>
      </w:tr>
    </w:tbl>
    <w:p>
      <w:pPr>
        <w:spacing w:after="0" w:before="80"/>
      </w:pPr>
      <w:r>
        <w:t xml:space="preserve"/>
      </w:r>
    </w:p>
    <w:p>
      <w:pPr>
        <w:pStyle w:val="Heading2"/>
        <w:spacing w:after="100" w:before="240"/>
      </w:pPr>
      <w:r>
        <w:rPr>
          <w:rFonts w:ascii="Arial" w:cs="Arial" w:eastAsia="Arial" w:hAnsi="Arial"/>
          <w:b/>
          <w:bCs/>
          <w:color w:val="1A6B72"/>
          <w:sz w:val="26"/>
          <w:szCs w:val="26"/>
        </w:rPr>
        <w:t xml:space="preserve">1.5  Summary</w:t>
      </w:r>
    </w:p>
    <w:p>
      <w:pPr>
        <w:spacing w:after="100" w:before="80"/>
      </w:pPr>
      <w:r>
        <w:rPr>
          <w:rFonts w:ascii="Arial" w:cs="Arial" w:eastAsia="Arial" w:hAnsi="Arial"/>
          <w:sz w:val="22"/>
          <w:szCs w:val="22"/>
        </w:rPr>
        <w:t xml:space="preserve">The XGBoost model ingests customer financial and behavioural attributes, applies preprocessing and class-balance correction, and outputs a probability-based delinquency risk score. The top five drivers are Missed_Payments, Credit_Utilization, Debt_to_Income_Ratio, six-month payment history, and Credit_Score — each reflecting a distinct dimension of financial stress.</w:t>
      </w:r>
    </w:p>
    <w:p>
      <w:pPr>
        <w:spacing w:after="0" w:before="2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Justification for Model Choice</w:t>
      </w:r>
    </w:p>
    <w:p>
      <w:pPr>
        <w:spacing w:after="0" w:before="60"/>
      </w:pPr>
      <w:r>
        <w:t xml:space="preserve"/>
      </w:r>
    </w:p>
    <w:p>
      <w:pPr>
        <w:pStyle w:val="Heading2"/>
        <w:spacing w:after="100" w:before="240"/>
      </w:pPr>
      <w:r>
        <w:rPr>
          <w:rFonts w:ascii="Arial" w:cs="Arial" w:eastAsia="Arial" w:hAnsi="Arial"/>
          <w:b/>
          <w:bCs/>
          <w:color w:val="1A6B72"/>
          <w:sz w:val="26"/>
          <w:szCs w:val="26"/>
        </w:rPr>
        <w:t xml:space="preserve">2.1  Why XGBoost?</w:t>
      </w:r>
    </w:p>
    <w:p>
      <w:pPr>
        <w:spacing w:after="100" w:before="80"/>
      </w:pPr>
      <w:r>
        <w:rPr>
          <w:rFonts w:ascii="Arial" w:cs="Arial" w:eastAsia="Arial" w:hAnsi="Arial"/>
          <w:sz w:val="22"/>
          <w:szCs w:val="22"/>
        </w:rPr>
        <w:t xml:space="preserve">Gradient Boosted Decision Trees (XGBoost) are the recommended model for Geldium's delinquency prediction task for the following reasons:</w:t>
      </w:r>
    </w:p>
    <w:p>
      <w:pPr>
        <w:spacing w:after="0" w:before="40"/>
      </w:pPr>
      <w:r>
        <w:t xml:space="preserve"/>
      </w:r>
    </w:p>
    <w:p>
      <w:pPr>
        <w:pStyle w:val="ListParagraph"/>
        <w:numPr>
          <w:ilvl w:val="0"/>
          <w:numId w:val="2"/>
        </w:numPr>
        <w:spacing w:after="60" w:before="60"/>
      </w:pPr>
      <w:r>
        <w:rPr>
          <w:rFonts w:ascii="Arial" w:cs="Arial" w:eastAsia="Arial" w:hAnsi="Arial"/>
          <w:b/>
          <w:bCs/>
          <w:sz w:val="22"/>
          <w:szCs w:val="22"/>
        </w:rPr>
        <w:t xml:space="preserve">Accuracy on tabular financial data: </w:t>
      </w:r>
      <w:r>
        <w:rPr>
          <w:rFonts w:ascii="Arial" w:cs="Arial" w:eastAsia="Arial" w:hAnsi="Arial"/>
          <w:sz w:val="22"/>
          <w:szCs w:val="22"/>
        </w:rPr>
        <w:t xml:space="preserve"/>
      </w:r>
    </w:p>
    <w:p>
      <w:pPr>
        <w:spacing w:after="100" w:before="80"/>
      </w:pPr>
      <w:r>
        <w:rPr>
          <w:rFonts w:ascii="Arial" w:cs="Arial" w:eastAsia="Arial" w:hAnsi="Arial"/>
          <w:sz w:val="22"/>
          <w:szCs w:val="22"/>
        </w:rPr>
        <w:t xml:space="preserve">  XGBoost consistently outperforms linear models and vanilla decision trees on structured datasets with mixed feature types (numerical, categorical, ordinal). Financial behaviour data such as credit utilisation and missed payments is inherently non-linear, and boosting captures those relationships without manual feature engineering.</w:t>
      </w:r>
    </w:p>
    <w:p>
      <w:pPr>
        <w:pStyle w:val="ListParagraph"/>
        <w:numPr>
          <w:ilvl w:val="0"/>
          <w:numId w:val="2"/>
        </w:numPr>
        <w:spacing w:after="60" w:before="60"/>
      </w:pPr>
      <w:r>
        <w:rPr>
          <w:rFonts w:ascii="Arial" w:cs="Arial" w:eastAsia="Arial" w:hAnsi="Arial"/>
          <w:b/>
          <w:bCs/>
          <w:sz w:val="22"/>
          <w:szCs w:val="22"/>
        </w:rPr>
        <w:t xml:space="preserve">Native handling of missing values: </w:t>
      </w:r>
      <w:r>
        <w:rPr>
          <w:rFonts w:ascii="Arial" w:cs="Arial" w:eastAsia="Arial" w:hAnsi="Arial"/>
          <w:sz w:val="22"/>
          <w:szCs w:val="22"/>
        </w:rPr>
        <w:t xml:space="preserve"/>
      </w:r>
    </w:p>
    <w:p>
      <w:pPr>
        <w:spacing w:after="100" w:before="80"/>
      </w:pPr>
      <w:r>
        <w:rPr>
          <w:rFonts w:ascii="Arial" w:cs="Arial" w:eastAsia="Arial" w:hAnsi="Arial"/>
          <w:sz w:val="22"/>
          <w:szCs w:val="22"/>
        </w:rPr>
        <w:t xml:space="preserve">  The Geldium dataset contains missing Income values. XGBoost learns optimal imputation directions internally, reducing the risk of bias introduced by manual imputation choices.</w:t>
      </w:r>
    </w:p>
    <w:p>
      <w:pPr>
        <w:pStyle w:val="ListParagraph"/>
        <w:numPr>
          <w:ilvl w:val="0"/>
          <w:numId w:val="2"/>
        </w:numPr>
        <w:spacing w:after="60" w:before="60"/>
      </w:pPr>
      <w:r>
        <w:rPr>
          <w:rFonts w:ascii="Arial" w:cs="Arial" w:eastAsia="Arial" w:hAnsi="Arial"/>
          <w:b/>
          <w:bCs/>
          <w:sz w:val="22"/>
          <w:szCs w:val="22"/>
        </w:rPr>
        <w:t xml:space="preserve">Built-in feature importance: </w:t>
      </w:r>
      <w:r>
        <w:rPr>
          <w:rFonts w:ascii="Arial" w:cs="Arial" w:eastAsia="Arial" w:hAnsi="Arial"/>
          <w:sz w:val="22"/>
          <w:szCs w:val="22"/>
        </w:rPr>
        <w:t xml:space="preserve"/>
      </w:r>
    </w:p>
    <w:p>
      <w:pPr>
        <w:spacing w:after="100" w:before="80"/>
      </w:pPr>
      <w:r>
        <w:rPr>
          <w:rFonts w:ascii="Arial" w:cs="Arial" w:eastAsia="Arial" w:hAnsi="Arial"/>
          <w:sz w:val="22"/>
          <w:szCs w:val="22"/>
        </w:rPr>
        <w:t xml:space="preserve">  XGBoost provides SHAP (Shapley Additive Explanations) compatibility, enabling analysts and compliance teams to explain individual predictions — a critical requirement under financial services regulations such as ECOA (Equal Credit Opportunity Act) and GDPR's right to explanation.</w:t>
      </w:r>
    </w:p>
    <w:p>
      <w:pPr>
        <w:pStyle w:val="ListParagraph"/>
        <w:numPr>
          <w:ilvl w:val="0"/>
          <w:numId w:val="2"/>
        </w:numPr>
        <w:spacing w:after="60" w:before="60"/>
      </w:pPr>
      <w:r>
        <w:rPr>
          <w:rFonts w:ascii="Arial" w:cs="Arial" w:eastAsia="Arial" w:hAnsi="Arial"/>
          <w:b/>
          <w:bCs/>
          <w:sz w:val="22"/>
          <w:szCs w:val="22"/>
        </w:rPr>
        <w:t xml:space="preserve">Scalability: </w:t>
      </w:r>
      <w:r>
        <w:rPr>
          <w:rFonts w:ascii="Arial" w:cs="Arial" w:eastAsia="Arial" w:hAnsi="Arial"/>
          <w:sz w:val="22"/>
          <w:szCs w:val="22"/>
        </w:rPr>
        <w:t xml:space="preserve"/>
      </w:r>
    </w:p>
    <w:p>
      <w:pPr>
        <w:spacing w:after="100" w:before="80"/>
      </w:pPr>
      <w:r>
        <w:rPr>
          <w:rFonts w:ascii="Arial" w:cs="Arial" w:eastAsia="Arial" w:hAnsi="Arial"/>
          <w:sz w:val="22"/>
          <w:szCs w:val="22"/>
        </w:rPr>
        <w:t xml:space="preserve">  The model trains efficiently on datasets of this size and can be retrained monthly as new behavioural data accumulates, keeping predictions current.</w:t>
      </w:r>
    </w:p>
    <w:p>
      <w:pPr>
        <w:spacing w:after="0" w:before="80"/>
      </w:pPr>
      <w:r>
        <w:t xml:space="preserve"/>
      </w:r>
    </w:p>
    <w:p>
      <w:pPr>
        <w:pStyle w:val="Heading2"/>
        <w:spacing w:after="100" w:before="240"/>
      </w:pPr>
      <w:r>
        <w:rPr>
          <w:rFonts w:ascii="Arial" w:cs="Arial" w:eastAsia="Arial" w:hAnsi="Arial"/>
          <w:b/>
          <w:bCs/>
          <w:color w:val="1A6B72"/>
          <w:sz w:val="26"/>
          <w:szCs w:val="26"/>
        </w:rPr>
        <w:t xml:space="preserve">2.2  Comparison with Alternatives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Criterion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Logistic Regression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XGBoost ✓</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Neural Network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Accuracy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Moderate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High</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 (SHAP)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Missing value handling</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Requires imputation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Native</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Requires imputation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complexity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Regulatory suitability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High (with SHAP)</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Low</w:t>
            </w:r>
          </w:p>
        </w:tc>
      </w:tr>
    </w:tbl>
    <w:p>
      <w:pPr>
        <w:spacing w:after="0" w:before="120"/>
      </w:pPr>
      <w:r>
        <w:t xml:space="preserve"/>
      </w:r>
    </w:p>
    <w:p>
      <w:pPr>
        <w:pStyle w:val="Heading2"/>
        <w:spacing w:after="100" w:before="240"/>
      </w:pPr>
      <w:r>
        <w:rPr>
          <w:rFonts w:ascii="Arial" w:cs="Arial" w:eastAsia="Arial" w:hAnsi="Arial"/>
          <w:b/>
          <w:bCs/>
          <w:color w:val="1A6B72"/>
          <w:sz w:val="26"/>
          <w:szCs w:val="26"/>
        </w:rPr>
        <w:t xml:space="preserve">2.3  Connecting to Geldium's Business Needs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4F4" w:val="clear"/>
            <w:tcMar>
              <w:top w:type="dxa" w:w="160"/>
              <w:left w:type="dxa" w:w="200"/>
              <w:bottom w:type="dxa" w:w="160"/>
              <w:right w:type="dxa" w:w="200"/>
            </w:tcMar>
          </w:tcPr>
          <w:p>
            <w:pPr>
              <w:spacing w:after="100" w:before="60"/>
            </w:pPr>
            <w:r>
              <w:rPr>
                <w:rFonts w:ascii="Arial" w:cs="Arial" w:eastAsia="Arial" w:hAnsi="Arial"/>
                <w:b/>
                <w:bCs/>
                <w:color w:val="1F4E79"/>
                <w:sz w:val="22"/>
                <w:szCs w:val="22"/>
              </w:rPr>
              <w:t xml:space="preserve">Model Justification</w:t>
            </w:r>
          </w:p>
          <w:p>
            <w:pPr>
              <w:spacing w:after="60" w:before="60"/>
            </w:pPr>
            <w:r>
              <w:rPr>
                <w:rFonts w:ascii="Arial" w:cs="Arial" w:eastAsia="Arial" w:hAnsi="Arial"/>
                <w:sz w:val="21"/>
                <w:szCs w:val="21"/>
              </w:rPr>
              <w:t xml:space="preserve">XGBoost is selected because it delivers the optimal balance between predictive power and explainability</w:t>
            </w:r>
          </w:p>
          <w:p>
            <w:pPr>
              <w:spacing w:after="60" w:before="60"/>
            </w:pPr>
            <w:r>
              <w:rPr>
                <w:rFonts w:ascii="Arial" w:cs="Arial" w:eastAsia="Arial" w:hAnsi="Arial"/>
                <w:sz w:val="21"/>
                <w:szCs w:val="21"/>
              </w:rPr>
              <w:t xml:space="preserve">for a regulated financial services context. Unlike logistic regression, it captures complex non-linear</w:t>
            </w:r>
          </w:p>
          <w:p>
            <w:pPr>
              <w:spacing w:after="60" w:before="60"/>
            </w:pPr>
            <w:r>
              <w:rPr>
                <w:rFonts w:ascii="Arial" w:cs="Arial" w:eastAsia="Arial" w:hAnsi="Arial"/>
                <w:sz w:val="21"/>
                <w:szCs w:val="21"/>
              </w:rPr>
              <w:t xml:space="preserve">interactions between features such as missed payments and credit utilisation without requiring extensive</w:t>
            </w:r>
          </w:p>
          <w:p>
            <w:pPr>
              <w:spacing w:after="60" w:before="60"/>
            </w:pPr>
            <w:r>
              <w:rPr>
                <w:rFonts w:ascii="Arial" w:cs="Arial" w:eastAsia="Arial" w:hAnsi="Arial"/>
                <w:sz w:val="21"/>
                <w:szCs w:val="21"/>
              </w:rPr>
              <w:t xml:space="preserve">manual feature engineering. Unlike deep neural networks, it remains interpretable through SHAP values,</w:t>
            </w:r>
          </w:p>
          <w:p>
            <w:pPr>
              <w:spacing w:after="60" w:before="60"/>
            </w:pPr>
            <w:r>
              <w:rPr>
                <w:rFonts w:ascii="Arial" w:cs="Arial" w:eastAsia="Arial" w:hAnsi="Arial"/>
                <w:sz w:val="21"/>
                <w:szCs w:val="21"/>
              </w:rPr>
              <w:t xml:space="preserve">enabling Geldium's compliance and credit risk teams to audit individual decisions, meet regulatory</w:t>
            </w:r>
          </w:p>
          <w:p>
            <w:pPr>
              <w:spacing w:after="60" w:before="60"/>
            </w:pPr>
            <w:r>
              <w:rPr>
                <w:rFonts w:ascii="Arial" w:cs="Arial" w:eastAsia="Arial" w:hAnsi="Arial"/>
                <w:sz w:val="21"/>
                <w:szCs w:val="21"/>
              </w:rPr>
              <w:t xml:space="preserve">obligations around adverse action notices, and build stakeholder trust. Its ability to handle missing</w:t>
            </w:r>
          </w:p>
          <w:p>
            <w:pPr>
              <w:spacing w:after="60" w:before="60"/>
            </w:pPr>
            <w:r>
              <w:rPr>
                <w:rFonts w:ascii="Arial" w:cs="Arial" w:eastAsia="Arial" w:hAnsi="Arial"/>
                <w:sz w:val="21"/>
                <w:szCs w:val="21"/>
              </w:rPr>
              <w:t xml:space="preserve">income data natively and its proven performance on imbalanced credit datasets make it operationally</w:t>
            </w:r>
          </w:p>
          <w:p>
            <w:pPr>
              <w:spacing w:after="60" w:before="60"/>
            </w:pPr>
            <w:r>
              <w:rPr>
                <w:rFonts w:ascii="Arial" w:cs="Arial" w:eastAsia="Arial" w:hAnsi="Arial"/>
                <w:sz w:val="21"/>
                <w:szCs w:val="21"/>
              </w:rPr>
              <w:t xml:space="preserve">practical — it can be retrained on a monthly cadence as new payment data arrives, ensuring predictions</w:t>
            </w:r>
          </w:p>
          <w:p>
            <w:pPr>
              <w:spacing w:after="60" w:before="60"/>
            </w:pPr>
            <w:r>
              <w:rPr>
                <w:rFonts w:ascii="Arial" w:cs="Arial" w:eastAsia="Arial" w:hAnsi="Arial"/>
                <w:sz w:val="21"/>
                <w:szCs w:val="21"/>
              </w:rPr>
              <w:t xml:space="preserve">remain timely and relevant to Geldium's evolving customer portfolio.</w:t>
            </w:r>
          </w:p>
        </w:tc>
      </w:tr>
    </w:tbl>
    <w:p>
      <w:pPr>
        <w:spacing w:after="0" w:before="2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3. Evaluation Strategy</w:t>
      </w:r>
    </w:p>
    <w:p>
      <w:pPr>
        <w:spacing w:after="0" w:before="60"/>
      </w:pPr>
      <w:r>
        <w:t xml:space="preserve"/>
      </w:r>
    </w:p>
    <w:p>
      <w:pPr>
        <w:pStyle w:val="Heading2"/>
        <w:spacing w:after="100" w:before="240"/>
      </w:pPr>
      <w:r>
        <w:rPr>
          <w:rFonts w:ascii="Arial" w:cs="Arial" w:eastAsia="Arial" w:hAnsi="Arial"/>
          <w:b/>
          <w:bCs/>
          <w:color w:val="1A6B72"/>
          <w:sz w:val="26"/>
          <w:szCs w:val="26"/>
        </w:rPr>
        <w:t xml:space="preserve">3.1  Performance Metrics</w:t>
      </w:r>
    </w:p>
    <w:p>
      <w:pPr>
        <w:spacing w:after="100" w:before="80"/>
      </w:pPr>
      <w:r>
        <w:rPr>
          <w:rFonts w:ascii="Arial" w:cs="Arial" w:eastAsia="Arial" w:hAnsi="Arial"/>
          <w:sz w:val="22"/>
          <w:szCs w:val="22"/>
        </w:rPr>
        <w:t xml:space="preserve">Given that delinquency is a binary classification problem with an imbalanced outcome (fewer customers default than do not), accuracy alone is insufficient. The following metrics will be used: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Metric</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What it measures</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AUC-ROC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Overall model discrimination — ability to rank at-risk customers above safe ones across all thresholds.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0.80</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F1 Score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Balance between precision (avoiding false alarms) and recall (catching real defaults).</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 0.70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 customers flagged as delinquent, what proportion truly are? Controls for costly false interventions.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0.65</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Recall (Sensitivity)</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Of all truly delinquent customers, what proportion does the model catch? Critical for credit risk.</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 0.75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Overall correct predictions — useful as a sanity check alongside other metrics.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0.78</w:t>
            </w:r>
          </w:p>
        </w:tc>
      </w:tr>
    </w:tbl>
    <w:p>
      <w:pPr>
        <w:spacing w:after="0" w:before="120"/>
      </w:pPr>
      <w:r>
        <w:t xml:space="preserve"/>
      </w:r>
    </w:p>
    <w:p>
      <w:pPr>
        <w:pStyle w:val="Heading2"/>
        <w:spacing w:after="100" w:before="240"/>
      </w:pPr>
      <w:r>
        <w:rPr>
          <w:rFonts w:ascii="Arial" w:cs="Arial" w:eastAsia="Arial" w:hAnsi="Arial"/>
          <w:b/>
          <w:bCs/>
          <w:color w:val="1A6B72"/>
          <w:sz w:val="26"/>
          <w:szCs w:val="26"/>
        </w:rPr>
        <w:t xml:space="preserve">3.2  Validation Approach</w:t>
      </w:r>
    </w:p>
    <w:p>
      <w:pPr>
        <w:pStyle w:val="ListParagraph"/>
        <w:numPr>
          <w:ilvl w:val="0"/>
          <w:numId w:val="2"/>
        </w:numPr>
        <w:spacing w:after="60" w:before="60"/>
      </w:pPr>
      <w:r>
        <w:rPr>
          <w:rFonts w:ascii="Arial" w:cs="Arial" w:eastAsia="Arial" w:hAnsi="Arial"/>
          <w:sz w:val="22"/>
          <w:szCs w:val="22"/>
        </w:rPr>
        <w:t xml:space="preserve">Stratified train/test split (80/20) to preserve class ratio in both sets.</w:t>
      </w:r>
    </w:p>
    <w:p>
      <w:pPr>
        <w:pStyle w:val="ListParagraph"/>
        <w:numPr>
          <w:ilvl w:val="0"/>
          <w:numId w:val="2"/>
        </w:numPr>
        <w:spacing w:after="60" w:before="60"/>
      </w:pPr>
      <w:r>
        <w:rPr>
          <w:rFonts w:ascii="Arial" w:cs="Arial" w:eastAsia="Arial" w:hAnsi="Arial"/>
          <w:sz w:val="22"/>
          <w:szCs w:val="22"/>
        </w:rPr>
        <w:t xml:space="preserve">5-fold cross-validation during training to detect overfitting and obtain stable metric estimates.</w:t>
      </w:r>
    </w:p>
    <w:p>
      <w:pPr>
        <w:pStyle w:val="ListParagraph"/>
        <w:numPr>
          <w:ilvl w:val="0"/>
          <w:numId w:val="2"/>
        </w:numPr>
        <w:spacing w:after="60" w:before="60"/>
      </w:pPr>
      <w:r>
        <w:rPr>
          <w:rFonts w:ascii="Arial" w:cs="Arial" w:eastAsia="Arial" w:hAnsi="Arial"/>
          <w:sz w:val="22"/>
          <w:szCs w:val="22"/>
        </w:rPr>
        <w:t xml:space="preserve">Confusion matrix review to inspect false positives (customers wrongly flagged) and false negatives (missed defaults) — the latter carry greater financial cost.</w:t>
      </w:r>
    </w:p>
    <w:p>
      <w:pPr>
        <w:pStyle w:val="ListParagraph"/>
        <w:numPr>
          <w:ilvl w:val="0"/>
          <w:numId w:val="2"/>
        </w:numPr>
        <w:spacing w:after="60" w:before="60"/>
      </w:pPr>
      <w:r>
        <w:rPr>
          <w:rFonts w:ascii="Arial" w:cs="Arial" w:eastAsia="Arial" w:hAnsi="Arial"/>
          <w:sz w:val="22"/>
          <w:szCs w:val="22"/>
        </w:rPr>
        <w:t xml:space="preserve">Threshold tuning: adjust the classification threshold from 0.5 toward a value that maximises F1 given Geldium's risk appetite.</w:t>
      </w:r>
    </w:p>
    <w:p>
      <w:pPr>
        <w:spacing w:after="0" w:before="80"/>
      </w:pPr>
      <w:r>
        <w:t xml:space="preserve"/>
      </w:r>
    </w:p>
    <w:p>
      <w:pPr>
        <w:pStyle w:val="Heading2"/>
        <w:spacing w:after="100" w:before="240"/>
      </w:pPr>
      <w:r>
        <w:rPr>
          <w:rFonts w:ascii="Arial" w:cs="Arial" w:eastAsia="Arial" w:hAnsi="Arial"/>
          <w:b/>
          <w:bCs/>
          <w:color w:val="1A6B72"/>
          <w:sz w:val="26"/>
          <w:szCs w:val="26"/>
        </w:rPr>
        <w:t xml:space="preserve">3.3  Bias Detection and Fairness Checks</w:t>
      </w:r>
    </w:p>
    <w:p>
      <w:pPr>
        <w:spacing w:after="100" w:before="80"/>
      </w:pPr>
      <w:r>
        <w:rPr>
          <w:rFonts w:ascii="Arial" w:cs="Arial" w:eastAsia="Arial" w:hAnsi="Arial"/>
          <w:sz w:val="22"/>
          <w:szCs w:val="22"/>
        </w:rPr>
        <w:t xml:space="preserve">To ensure the model does not disadvantage any customer group, the following fairness checks will be applied:</w:t>
      </w:r>
    </w:p>
    <w:p>
      <w:pPr>
        <w:spacing w:after="0" w:before="40"/>
      </w:pPr>
      <w:r>
        <w:t xml:space="preserve"/>
      </w:r>
    </w:p>
    <w:p>
      <w:pPr>
        <w:pStyle w:val="ListParagraph"/>
        <w:numPr>
          <w:ilvl w:val="0"/>
          <w:numId w:val="2"/>
        </w:numPr>
        <w:spacing w:after="60" w:before="60"/>
      </w:pPr>
      <w:r>
        <w:rPr>
          <w:rFonts w:ascii="Arial" w:cs="Arial" w:eastAsia="Arial" w:hAnsi="Arial"/>
          <w:b/>
          <w:bCs/>
          <w:sz w:val="22"/>
          <w:szCs w:val="22"/>
        </w:rPr>
        <w:t xml:space="preserve">Demographic parity: </w:t>
      </w:r>
      <w:r>
        <w:rPr>
          <w:rFonts w:ascii="Arial" w:cs="Arial" w:eastAsia="Arial" w:hAnsi="Arial"/>
          <w:sz w:val="22"/>
          <w:szCs w:val="22"/>
        </w:rPr>
        <w:t xml:space="preserve"/>
      </w:r>
    </w:p>
    <w:p>
      <w:pPr>
        <w:spacing w:after="100" w:before="80"/>
      </w:pPr>
      <w:r>
        <w:rPr>
          <w:rFonts w:ascii="Arial" w:cs="Arial" w:eastAsia="Arial" w:hAnsi="Arial"/>
          <w:sz w:val="22"/>
          <w:szCs w:val="22"/>
        </w:rPr>
        <w:t xml:space="preserve">  Compare the delinquency flag rate across sub-groups (e.g., Employment_Status, Location) to identify systematic over- or under-prediction.</w:t>
      </w:r>
    </w:p>
    <w:p>
      <w:pPr>
        <w:pStyle w:val="ListParagraph"/>
        <w:numPr>
          <w:ilvl w:val="0"/>
          <w:numId w:val="2"/>
        </w:numPr>
        <w:spacing w:after="60" w:before="60"/>
      </w:pPr>
      <w:r>
        <w:rPr>
          <w:rFonts w:ascii="Arial" w:cs="Arial" w:eastAsia="Arial" w:hAnsi="Arial"/>
          <w:b/>
          <w:bCs/>
          <w:sz w:val="22"/>
          <w:szCs w:val="22"/>
        </w:rPr>
        <w:t xml:space="preserve">Disparate impact analysis: </w:t>
      </w:r>
      <w:r>
        <w:rPr>
          <w:rFonts w:ascii="Arial" w:cs="Arial" w:eastAsia="Arial" w:hAnsi="Arial"/>
          <w:sz w:val="22"/>
          <w:szCs w:val="22"/>
        </w:rPr>
        <w:t xml:space="preserve"/>
      </w:r>
    </w:p>
    <w:p>
      <w:pPr>
        <w:spacing w:after="100" w:before="80"/>
      </w:pPr>
      <w:r>
        <w:rPr>
          <w:rFonts w:ascii="Arial" w:cs="Arial" w:eastAsia="Arial" w:hAnsi="Arial"/>
          <w:sz w:val="22"/>
          <w:szCs w:val="22"/>
        </w:rPr>
        <w:t xml:space="preserve">  Calculate the ratio of positive outcomes (predicted non-delinquent) across protected groups. A ratio below 0.80 triggers a bias review.</w:t>
      </w:r>
    </w:p>
    <w:p>
      <w:pPr>
        <w:pStyle w:val="ListParagraph"/>
        <w:numPr>
          <w:ilvl w:val="0"/>
          <w:numId w:val="2"/>
        </w:numPr>
        <w:spacing w:after="60" w:before="60"/>
      </w:pPr>
      <w:r>
        <w:rPr>
          <w:rFonts w:ascii="Arial" w:cs="Arial" w:eastAsia="Arial" w:hAnsi="Arial"/>
          <w:b/>
          <w:bCs/>
          <w:sz w:val="22"/>
          <w:szCs w:val="22"/>
        </w:rPr>
        <w:t xml:space="preserve">SHAP feature audit: </w:t>
      </w:r>
      <w:r>
        <w:rPr>
          <w:rFonts w:ascii="Arial" w:cs="Arial" w:eastAsia="Arial" w:hAnsi="Arial"/>
          <w:sz w:val="22"/>
          <w:szCs w:val="22"/>
        </w:rPr>
        <w:t xml:space="preserve"/>
      </w:r>
    </w:p>
    <w:p>
      <w:pPr>
        <w:spacing w:after="100" w:before="80"/>
      </w:pPr>
      <w:r>
        <w:rPr>
          <w:rFonts w:ascii="Arial" w:cs="Arial" w:eastAsia="Arial" w:hAnsi="Arial"/>
          <w:sz w:val="22"/>
          <w:szCs w:val="22"/>
        </w:rPr>
        <w:t xml:space="preserve">  Inspect whether Location or Employment_Status disproportionately drives predictions — a proxy-discrimination risk if these features correlate with demographic attributes.</w:t>
      </w:r>
    </w:p>
    <w:p>
      <w:pPr>
        <w:pStyle w:val="ListParagraph"/>
        <w:numPr>
          <w:ilvl w:val="0"/>
          <w:numId w:val="2"/>
        </w:numPr>
        <w:spacing w:after="60" w:before="60"/>
      </w:pPr>
      <w:r>
        <w:rPr>
          <w:rFonts w:ascii="Arial" w:cs="Arial" w:eastAsia="Arial" w:hAnsi="Arial"/>
          <w:b/>
          <w:bCs/>
          <w:sz w:val="22"/>
          <w:szCs w:val="22"/>
        </w:rPr>
        <w:t xml:space="preserve">Equalised odds check: </w:t>
      </w:r>
      <w:r>
        <w:rPr>
          <w:rFonts w:ascii="Arial" w:cs="Arial" w:eastAsia="Arial" w:hAnsi="Arial"/>
          <w:sz w:val="22"/>
          <w:szCs w:val="22"/>
        </w:rPr>
        <w:t xml:space="preserve"/>
      </w:r>
    </w:p>
    <w:p>
      <w:pPr>
        <w:spacing w:after="100" w:before="80"/>
      </w:pPr>
      <w:r>
        <w:rPr>
          <w:rFonts w:ascii="Arial" w:cs="Arial" w:eastAsia="Arial" w:hAnsi="Arial"/>
          <w:sz w:val="22"/>
          <w:szCs w:val="22"/>
        </w:rPr>
        <w:t xml:space="preserve">  Confirm that recall (true positive rate) is similar across key sub-groups so no group is disproportionately missed.</w:t>
      </w:r>
    </w:p>
    <w:p>
      <w:pPr>
        <w:spacing w:after="0" w:before="80"/>
      </w:pPr>
      <w:r>
        <w:t xml:space="preserve"/>
      </w:r>
    </w:p>
    <w:p>
      <w:pPr>
        <w:pStyle w:val="Heading2"/>
        <w:spacing w:after="100" w:before="240"/>
      </w:pPr>
      <w:r>
        <w:rPr>
          <w:rFonts w:ascii="Arial" w:cs="Arial" w:eastAsia="Arial" w:hAnsi="Arial"/>
          <w:b/>
          <w:bCs/>
          <w:color w:val="1A6B72"/>
          <w:sz w:val="26"/>
          <w:szCs w:val="26"/>
        </w:rPr>
        <w:t xml:space="preserve">3.4  Ethical Considerations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8E8" w:val="clear"/>
            <w:tcMar>
              <w:top w:type="dxa" w:w="160"/>
              <w:left w:type="dxa" w:w="200"/>
              <w:bottom w:type="dxa" w:w="160"/>
              <w:right w:type="dxa" w:w="200"/>
            </w:tcMar>
          </w:tcPr>
          <w:p>
            <w:pPr>
              <w:spacing w:after="100" w:before="60"/>
            </w:pPr>
            <w:r>
              <w:rPr>
                <w:rFonts w:ascii="Arial" w:cs="Arial" w:eastAsia="Arial" w:hAnsi="Arial"/>
                <w:b/>
                <w:bCs/>
                <w:color w:val="1F4E79"/>
                <w:sz w:val="22"/>
                <w:szCs w:val="22"/>
              </w:rPr>
              <w:t xml:space="preserve">Ethical Framework for Model Deployment</w:t>
            </w:r>
          </w:p>
          <w:p>
            <w:pPr>
              <w:spacing w:after="60" w:before="60"/>
            </w:pPr>
            <w:r>
              <w:rPr>
                <w:rFonts w:ascii="Arial" w:cs="Arial" w:eastAsia="Arial" w:hAnsi="Arial"/>
                <w:sz w:val="21"/>
                <w:szCs w:val="21"/>
              </w:rPr>
              <w:t xml:space="preserve">• Transparency: Customers must be able to request an explanation of any adverse credit decision (adverse</w:t>
            </w:r>
          </w:p>
          <w:p>
            <w:pPr>
              <w:spacing w:after="60" w:before="60"/>
            </w:pPr>
            <w:r>
              <w:rPr>
                <w:rFonts w:ascii="Arial" w:cs="Arial" w:eastAsia="Arial" w:hAnsi="Arial"/>
                <w:sz w:val="21"/>
                <w:szCs w:val="21"/>
              </w:rPr>
              <w:t xml:space="preserve">  action notice). SHAP values enable per-customer explanations in plain language.</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 Data minimisation: Features such as Location should be reviewed to determine whether they add</w:t>
            </w:r>
          </w:p>
          <w:p>
            <w:pPr>
              <w:spacing w:after="60" w:before="60"/>
            </w:pPr>
            <w:r>
              <w:rPr>
                <w:rFonts w:ascii="Arial" w:cs="Arial" w:eastAsia="Arial" w:hAnsi="Arial"/>
                <w:sz w:val="21"/>
                <w:szCs w:val="21"/>
              </w:rPr>
              <w:t xml:space="preserve">  predictive value beyond what financial features already capture, and removed if they primarily introduce</w:t>
            </w:r>
          </w:p>
          <w:p>
            <w:pPr>
              <w:spacing w:after="60" w:before="60"/>
            </w:pPr>
            <w:r>
              <w:rPr>
                <w:rFonts w:ascii="Arial" w:cs="Arial" w:eastAsia="Arial" w:hAnsi="Arial"/>
                <w:sz w:val="21"/>
                <w:szCs w:val="21"/>
              </w:rPr>
              <w:t xml:space="preserve">  demographic proxy risk.</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 Continuous monitoring: Model performance metrics and fairness checks should be re-evaluated each time</w:t>
            </w:r>
          </w:p>
          <w:p>
            <w:pPr>
              <w:spacing w:after="60" w:before="60"/>
            </w:pPr>
            <w:r>
              <w:rPr>
                <w:rFonts w:ascii="Arial" w:cs="Arial" w:eastAsia="Arial" w:hAnsi="Arial"/>
                <w:sz w:val="21"/>
                <w:szCs w:val="21"/>
              </w:rPr>
              <w:t xml:space="preserve">  the model is retrained (recommended: monthly) to detect distributional drift or emerging bias.</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 Human oversight: High-risk predictions (probability scores between 0.45–0.55) should be routed for</w:t>
            </w:r>
          </w:p>
          <w:p>
            <w:pPr>
              <w:spacing w:after="60" w:before="60"/>
            </w:pPr>
            <w:r>
              <w:rPr>
                <w:rFonts w:ascii="Arial" w:cs="Arial" w:eastAsia="Arial" w:hAnsi="Arial"/>
                <w:sz w:val="21"/>
                <w:szCs w:val="21"/>
              </w:rPr>
              <w:t xml:space="preserve">  manual review before any credit action is taken, rather than relied upon as fully automated decisions.</w:t>
            </w:r>
          </w:p>
        </w:tc>
      </w:tr>
    </w:tbl>
    <w:p>
      <w:pPr>
        <w:spacing w:after="0" w:before="80"/>
      </w:pPr>
      <w:r>
        <w:t xml:space="preserve"/>
      </w:r>
    </w:p>
    <w:p>
      <w:pPr>
        <w:pStyle w:val="Heading2"/>
        <w:spacing w:after="100" w:before="240"/>
      </w:pPr>
      <w:r>
        <w:rPr>
          <w:rFonts w:ascii="Arial" w:cs="Arial" w:eastAsia="Arial" w:hAnsi="Arial"/>
          <w:b/>
          <w:bCs/>
          <w:color w:val="1A6B72"/>
          <w:sz w:val="26"/>
          <w:szCs w:val="26"/>
        </w:rPr>
        <w:t xml:space="preserve">3.5  Interpreting Results and Improvement Triggers</w:t>
      </w:r>
    </w:p>
    <w:p>
      <w:pPr>
        <w:spacing w:after="100" w:before="80"/>
      </w:pPr>
      <w:r>
        <w:rPr>
          <w:rFonts w:ascii="Arial" w:cs="Arial" w:eastAsia="Arial" w:hAnsi="Arial"/>
          <w:sz w:val="22"/>
          <w:szCs w:val="22"/>
        </w:rPr>
        <w:t xml:space="preserve">The model will be considered ready for deployment when AUC-ROC ≥ 0.80, F1 ≥ 0.70, and disparate impact ratio ≥ 0.80 across all tested sub-groups. If any metric falls below threshold, the following corrective actions will be explored:</w:t>
      </w:r>
    </w:p>
    <w:p>
      <w:pPr>
        <w:spacing w:after="0" w:before="40"/>
      </w:pPr>
      <w:r>
        <w:t xml:space="preserve"/>
      </w:r>
    </w:p>
    <w:p>
      <w:pPr>
        <w:pStyle w:val="ListParagraph"/>
        <w:numPr>
          <w:ilvl w:val="0"/>
          <w:numId w:val="2"/>
        </w:numPr>
        <w:spacing w:after="60" w:before="60"/>
      </w:pPr>
      <w:r>
        <w:rPr>
          <w:rFonts w:ascii="Arial" w:cs="Arial" w:eastAsia="Arial" w:hAnsi="Arial"/>
          <w:sz w:val="22"/>
          <w:szCs w:val="22"/>
        </w:rPr>
        <w:t xml:space="preserve">Low recall → lower classification threshold or apply cost-sensitive learning (penalise false negatives more heavily).</w:t>
      </w:r>
    </w:p>
    <w:p>
      <w:pPr>
        <w:pStyle w:val="ListParagraph"/>
        <w:numPr>
          <w:ilvl w:val="0"/>
          <w:numId w:val="2"/>
        </w:numPr>
        <w:spacing w:after="60" w:before="60"/>
      </w:pPr>
      <w:r>
        <w:rPr>
          <w:rFonts w:ascii="Arial" w:cs="Arial" w:eastAsia="Arial" w:hAnsi="Arial"/>
          <w:sz w:val="22"/>
          <w:szCs w:val="22"/>
        </w:rPr>
        <w:t xml:space="preserve">Low precision → raise classification threshold or add regularisation to reduce overfitting to noise.</w:t>
      </w:r>
    </w:p>
    <w:p>
      <w:pPr>
        <w:pStyle w:val="ListParagraph"/>
        <w:numPr>
          <w:ilvl w:val="0"/>
          <w:numId w:val="2"/>
        </w:numPr>
        <w:spacing w:after="60" w:before="60"/>
      </w:pPr>
      <w:r>
        <w:rPr>
          <w:rFonts w:ascii="Arial" w:cs="Arial" w:eastAsia="Arial" w:hAnsi="Arial"/>
          <w:sz w:val="22"/>
          <w:szCs w:val="22"/>
        </w:rPr>
        <w:t xml:space="preserve">Fairness violation → apply re-weighting of training samples, post-processing calibration, or remove proxy features.</w:t>
      </w:r>
    </w:p>
    <w:p>
      <w:pPr>
        <w:pStyle w:val="ListParagraph"/>
        <w:numPr>
          <w:ilvl w:val="0"/>
          <w:numId w:val="2"/>
        </w:numPr>
        <w:spacing w:after="60" w:before="60"/>
      </w:pPr>
      <w:r>
        <w:rPr>
          <w:rFonts w:ascii="Arial" w:cs="Arial" w:eastAsia="Arial" w:hAnsi="Arial"/>
          <w:sz w:val="22"/>
          <w:szCs w:val="22"/>
        </w:rPr>
        <w:t xml:space="preserve">AUC below 0.80 → revisit feature engineering, increase training data, or ensemble with a logistic regression base model.</w:t>
      </w:r>
    </w:p>
    <w:p>
      <w:pPr>
        <w:spacing w:after="0"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6B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2026-05-21T06:42:32.847Z</dcterms:created>
  <dcterms:modified xsi:type="dcterms:W3CDTF">2026-05-21T06:42:32.847Z</dcterms:modified>
</cp:coreProperties>
</file>

<file path=docProps/custom.xml><?xml version="1.0" encoding="utf-8"?>
<Properties xmlns="http://schemas.openxmlformats.org/officeDocument/2006/custom-properties" xmlns:vt="http://schemas.openxmlformats.org/officeDocument/2006/docPropsVTypes"/>
</file>