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80"/>
      </w:pPr>
      <w:r>
        <w:rPr>
          <w:rFonts w:ascii="Arial" w:cs="Arial" w:eastAsia="Arial" w:hAnsi="Arial"/>
          <w:b/>
          <w:bCs/>
          <w:color w:val="1F3864"/>
          <w:sz w:val="38"/>
          <w:szCs w:val="38"/>
        </w:rPr>
        <w:t xml:space="preserve">Predictive Insights for Collections Strategy</w:t>
      </w:r>
    </w:p>
    <w:p>
      <w:pPr>
        <w:spacing w:after="60" w:before="0"/>
      </w:pPr>
      <w:r>
        <w:rPr>
          <w:rFonts w:ascii="Arial" w:cs="Arial" w:eastAsia="Arial" w:hAnsi="Arial"/>
          <w:color w:val="555555"/>
          <w:sz w:val="19"/>
          <w:szCs w:val="19"/>
        </w:rPr>
        <w:t xml:space="preserve">Prepared for: Head of Collections  |  Geldium Financial Services  |  May 2026</w:t>
      </w:r>
    </w:p>
    <w:p>
      <w:pPr>
        <w:pBdr>
          <w:bottom w:val="single" w:color="2E75B6" w:sz="10" w:space="4"/>
        </w:pBdr>
        <w:spacing w:after="160" w:before="0"/>
      </w:pPr>
      <w:r>
        <w:t xml:space="preserve"/>
      </w:r>
    </w:p>
    <w:p>
      <w:pPr>
        <w:pBdr>
          <w:bottom w:val="single" w:color="2E75B6" w:sz="8" w:space="3"/>
        </w:pBdr>
        <w:spacing w:after="100" w:before="200"/>
      </w:pPr>
      <w:r>
        <w:rPr>
          <w:rFonts w:ascii="Arial" w:cs="Arial" w:eastAsia="Arial" w:hAnsi="Arial"/>
          <w:b/>
          <w:bCs/>
          <w:caps/>
          <w:color w:val="1F3864"/>
          <w:sz w:val="26"/>
          <w:szCs w:val="26"/>
        </w:rPr>
        <w:t xml:space="preserve">1. Summary of Predictive Insights</w:t>
      </w:r>
    </w:p>
    <w:p>
      <w:pPr>
        <w:spacing w:after="50" w:before="50"/>
      </w:pPr>
      <w:r>
        <w:rPr>
          <w:rFonts w:ascii="Arial" w:cs="Arial" w:eastAsia="Arial" w:hAnsi="Arial"/>
          <w:b w:val="false"/>
          <w:bCs w:val="false"/>
          <w:sz w:val="20"/>
          <w:szCs w:val="20"/>
        </w:rPr>
        <w:t xml:space="preserve">Analysis of Geldium's customer dataset — combining exploratory data analysis (Task 1) and the XGBoost predictive model framework (Task 2) — reveals three high-risk customer segments and five key delinquency drivers. The findings below are designed to help the Collections team prioritise outreach and allocate resources effectively.</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80" w:before="0"/>
            </w:pPr>
            <w:r>
              <w:rPr>
                <w:rFonts w:ascii="Arial" w:cs="Arial" w:eastAsia="Arial" w:hAnsi="Arial"/>
                <w:b/>
                <w:bCs/>
                <w:color w:val="1F3864"/>
                <w:sz w:val="21"/>
                <w:szCs w:val="21"/>
              </w:rPr>
              <w:t xml:space="preserve">⚑  Top 3 Risk Factors</w:t>
            </w:r>
          </w:p>
          <w:p>
            <w:pPr>
              <w:pStyle w:val="ListParagraph"/>
              <w:numPr>
                <w:ilvl w:val="0"/>
                <w:numId w:val="2"/>
              </w:numPr>
              <w:spacing w:after="40" w:before="40"/>
            </w:pPr>
            <w:r>
              <w:rPr>
                <w:rFonts w:ascii="Arial" w:cs="Arial" w:eastAsia="Arial" w:hAnsi="Arial"/>
                <w:b/>
                <w:bCs/>
                <w:sz w:val="20"/>
                <w:szCs w:val="20"/>
              </w:rPr>
              <w:t xml:space="preserve">Missed Payments (12-month count): </w:t>
            </w:r>
            <w:r>
              <w:rPr>
                <w:rFonts w:ascii="Arial" w:cs="Arial" w:eastAsia="Arial" w:hAnsi="Arial"/>
                <w:sz w:val="20"/>
                <w:szCs w:val="20"/>
              </w:rPr>
              <w:t xml:space="preserve">The single strongest predictor. Customers with 3 or more missed payments are significantly more likely to become delinquent.</w:t>
            </w:r>
          </w:p>
          <w:p>
            <w:pPr>
              <w:pStyle w:val="ListParagraph"/>
              <w:numPr>
                <w:ilvl w:val="0"/>
                <w:numId w:val="2"/>
              </w:numPr>
              <w:spacing w:after="40" w:before="40"/>
            </w:pPr>
            <w:r>
              <w:rPr>
                <w:rFonts w:ascii="Arial" w:cs="Arial" w:eastAsia="Arial" w:hAnsi="Arial"/>
                <w:b/>
                <w:bCs/>
                <w:sz w:val="20"/>
                <w:szCs w:val="20"/>
              </w:rPr>
              <w:t xml:space="preserve">High Credit Utilisation (&gt;70%): </w:t>
            </w:r>
            <w:r>
              <w:rPr>
                <w:rFonts w:ascii="Arial" w:cs="Arial" w:eastAsia="Arial" w:hAnsi="Arial"/>
                <w:sz w:val="20"/>
                <w:szCs w:val="20"/>
              </w:rPr>
              <w:t xml:space="preserve">Customers drawing heavily on available credit exhibit financial strain that frequently precedes default.</w:t>
            </w:r>
          </w:p>
          <w:p>
            <w:pPr>
              <w:pStyle w:val="ListParagraph"/>
              <w:numPr>
                <w:ilvl w:val="0"/>
                <w:numId w:val="2"/>
              </w:numPr>
              <w:spacing w:after="0" w:before="40"/>
            </w:pPr>
            <w:r>
              <w:rPr>
                <w:rFonts w:ascii="Arial" w:cs="Arial" w:eastAsia="Arial" w:hAnsi="Arial"/>
                <w:b/>
                <w:bCs/>
                <w:sz w:val="20"/>
                <w:szCs w:val="20"/>
              </w:rPr>
              <w:t xml:space="preserve">High Debt-to-Income Ratio (&gt;50%): </w:t>
            </w:r>
            <w:r>
              <w:rPr>
                <w:rFonts w:ascii="Arial" w:cs="Arial" w:eastAsia="Arial" w:hAnsi="Arial"/>
                <w:sz w:val="20"/>
                <w:szCs w:val="20"/>
              </w:rPr>
              <w:t xml:space="preserve">A high debt burden relative to income constrains repayment capacity and sharply increases delinquency probability.</w:t>
            </w:r>
          </w:p>
        </w:tc>
      </w:tr>
    </w:tbl>
    <w:p>
      <w:pPr>
        <w:spacing w:after="0" w:before="100"/>
      </w:pPr>
      <w:r>
        <w:t xml:space="preserve"/>
      </w:r>
    </w:p>
    <w:p>
      <w:pPr>
        <w:spacing w:after="60" w:before="140"/>
      </w:pPr>
      <w:r>
        <w:rPr>
          <w:rFonts w:ascii="Arial" w:cs="Arial" w:eastAsia="Arial" w:hAnsi="Arial"/>
          <w:b/>
          <w:bCs/>
          <w:color w:val="1A6B72"/>
          <w:sz w:val="21"/>
          <w:szCs w:val="21"/>
        </w:rPr>
        <w:t xml:space="preserve">Key Insights Summary</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880"/>
      </w:tblGrid>
      <w:tr>
        <w:tc>
          <w:tcPr>
            <w:tcW w:type="dxa" w:w="2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Key Insight</w:t>
            </w:r>
          </w:p>
        </w:tc>
        <w:tc>
          <w:tcPr>
            <w:tcW w:type="dxa" w:w="2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Customer Segment</w:t>
            </w:r>
          </w:p>
        </w:tc>
        <w:tc>
          <w:tcPr>
            <w:tcW w:type="dxa" w:w="28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Influencing Variables</w:t>
            </w:r>
          </w:p>
        </w:tc>
        <w:tc>
          <w:tcPr>
            <w:tcW w:type="dxa" w:w="288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Potential Business Action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Frequent missed payments drive delinquency</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Customers with 3+ missed payments in past 12 months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Missed_Payments, Month_1–Month_6 history</w:t>
            </w:r>
          </w:p>
        </w:tc>
        <w:tc>
          <w:tcPr>
            <w:tcW w:type="dxa" w:w="2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Trigger early-stage collections contact at 2nd missed payment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Credit over-utilisation signals stress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Customers with utilisation &gt;70% and low credit score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Credit_Utilization, Credit_Score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Offer structured repayment plans or credit limit reviews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Unemployed customers show elevated risk</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Self-employed or unemployed with high loan balance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Employment_Status, Loan_Balance, Debt_to_Income_Ratio</w:t>
            </w:r>
          </w:p>
        </w:tc>
        <w:tc>
          <w:tcPr>
            <w:tcW w:type="dxa" w:w="2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Prioritise hardship support pathways for this segment</w:t>
            </w:r>
          </w:p>
        </w:tc>
      </w:tr>
    </w:tbl>
    <w:p>
      <w:pPr>
        <w:spacing w:after="0" w:before="120"/>
      </w:pPr>
      <w:r>
        <w:t xml:space="preserve"/>
      </w:r>
    </w:p>
    <w:p>
      <w:pPr>
        <w:pBdr>
          <w:bottom w:val="single" w:color="2E75B6" w:sz="8" w:space="3"/>
        </w:pBdr>
        <w:spacing w:after="100" w:before="200"/>
      </w:pPr>
      <w:r>
        <w:rPr>
          <w:rFonts w:ascii="Arial" w:cs="Arial" w:eastAsia="Arial" w:hAnsi="Arial"/>
          <w:b/>
          <w:bCs/>
          <w:caps/>
          <w:color w:val="1F3864"/>
          <w:sz w:val="26"/>
          <w:szCs w:val="26"/>
        </w:rPr>
        <w:t xml:space="preserve">2. Recommendation Framework</w:t>
      </w:r>
    </w:p>
    <w:p>
      <w:pPr>
        <w:spacing w:after="60" w:before="140"/>
      </w:pPr>
      <w:r>
        <w:rPr>
          <w:rFonts w:ascii="Arial" w:cs="Arial" w:eastAsia="Arial" w:hAnsi="Arial"/>
          <w:b/>
          <w:bCs/>
          <w:color w:val="1A6B72"/>
          <w:sz w:val="21"/>
          <w:szCs w:val="21"/>
        </w:rPr>
        <w:t xml:space="preserve">Restated Insight</w:t>
      </w:r>
    </w:p>
    <w:p>
      <w:pPr>
        <w:spacing w:after="50" w:before="50"/>
      </w:pPr>
      <w:r>
        <w:rPr>
          <w:rFonts w:ascii="Arial" w:cs="Arial" w:eastAsia="Arial" w:hAnsi="Arial"/>
          <w:b w:val="false"/>
          <w:bCs w:val="false"/>
          <w:sz w:val="20"/>
          <w:szCs w:val="20"/>
        </w:rPr>
        <w:t xml:space="preserve">Customers with credit utilisation above 70% are at materially higher risk of delinquency. Early, targeted intervention at this threshold can prevent accounts from deteriorating further.</w:t>
      </w:r>
    </w:p>
    <w:p>
      <w:pPr>
        <w:spacing w:after="0" w:before="80"/>
      </w:pPr>
      <w:r>
        <w:t xml:space="preserve"/>
      </w:r>
    </w:p>
    <w:p>
      <w:pPr>
        <w:spacing w:after="60" w:before="140"/>
      </w:pPr>
      <w:r>
        <w:rPr>
          <w:rFonts w:ascii="Arial" w:cs="Arial" w:eastAsia="Arial" w:hAnsi="Arial"/>
          <w:b/>
          <w:bCs/>
          <w:color w:val="1A6B72"/>
          <w:sz w:val="21"/>
          <w:szCs w:val="21"/>
        </w:rPr>
        <w:t xml:space="preserve">SMART Recommendation</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c>
          <w:tcPr>
            <w:tcW w:type="dxa" w:w="15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
            </w:r>
          </w:p>
        </w:tc>
        <w:tc>
          <w:tcPr>
            <w:tcW w:type="dxa" w:w="858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Proposed Recommendation</w:t>
            </w:r>
          </w:p>
        </w:tc>
      </w:tr>
      <w:tr>
        <w:tc>
          <w:tcPr>
            <w:tcW w:type="dxa" w:w="15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Specific</w:t>
            </w:r>
          </w:p>
        </w:tc>
        <w:tc>
          <w:tcPr>
            <w:tcW w:type="dxa" w:w="8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Launch a proactive outreach programme targeting all active customers whose Credit_Utilization exceeds 70%, offering a personalised repayment review call within 5 business days of the threshold being breached.</w:t>
            </w:r>
          </w:p>
        </w:tc>
      </w:tr>
      <w:tr>
        <w:tc>
          <w:tcPr>
            <w:tcW w:type="dxa" w:w="15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Measurable</w:t>
            </w:r>
          </w:p>
        </w:tc>
        <w:tc>
          <w:tcPr>
            <w:tcW w:type="dxa" w:w="85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Reduce the 90-day delinquency rate among high-utilisation customers by 15% within six months of programme launch, tracked via monthly cohort reporting.</w:t>
            </w:r>
          </w:p>
        </w:tc>
      </w:tr>
      <w:tr>
        <w:tc>
          <w:tcPr>
            <w:tcW w:type="dxa" w:w="15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Actionable</w:t>
            </w:r>
          </w:p>
        </w:tc>
        <w:tc>
          <w:tcPr>
            <w:tcW w:type="dxa" w:w="8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Collections agents use the model's risk score to prioritise outreach queues. Customers with a delinquency probability ≥ 0.65 receive immediate contact; those between 0.45–0.65 receive a digital nudge (SMS or email).</w:t>
            </w:r>
          </w:p>
        </w:tc>
      </w:tr>
      <w:tr>
        <w:tc>
          <w:tcPr>
            <w:tcW w:type="dxa" w:w="15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Relevant</w:t>
            </w:r>
          </w:p>
        </w:tc>
        <w:tc>
          <w:tcPr>
            <w:tcW w:type="dxa" w:w="85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Intervening before a payment is missed is significantly less costly than post-default recovery. This directly supports Geldium's goal of reducing collections costs and improving customer retention.</w:t>
            </w:r>
          </w:p>
        </w:tc>
      </w:tr>
      <w:tr>
        <w:tc>
          <w:tcPr>
            <w:tcW w:type="dxa" w:w="15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Time-bound</w:t>
            </w:r>
          </w:p>
        </w:tc>
        <w:tc>
          <w:tcPr>
            <w:tcW w:type="dxa" w:w="8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Pilot programme to be designed within 4 weeks, launched within 8 weeks, and evaluated at 3-month and 6-month intervals.</w:t>
            </w:r>
          </w:p>
        </w:tc>
      </w:tr>
    </w:tbl>
    <w:p>
      <w:pPr>
        <w:spacing w:after="0" w:before="100"/>
      </w:pPr>
      <w:r>
        <w:t xml:space="preserve"/>
      </w:r>
    </w:p>
    <w:p>
      <w:pPr>
        <w:spacing w:after="60" w:before="140"/>
      </w:pPr>
      <w:r>
        <w:rPr>
          <w:rFonts w:ascii="Arial" w:cs="Arial" w:eastAsia="Arial" w:hAnsi="Arial"/>
          <w:b/>
          <w:bCs/>
          <w:color w:val="1A6B72"/>
          <w:sz w:val="21"/>
          <w:szCs w:val="21"/>
        </w:rPr>
        <w:t xml:space="preserve">Justification and Business Rationale</w:t>
      </w:r>
    </w:p>
    <w:p>
      <w:pPr>
        <w:spacing w:after="50" w:before="50"/>
      </w:pPr>
      <w:r>
        <w:rPr>
          <w:rFonts w:ascii="Arial" w:cs="Arial" w:eastAsia="Arial" w:hAnsi="Arial"/>
          <w:b w:val="false"/>
          <w:bCs w:val="false"/>
          <w:sz w:val="20"/>
          <w:szCs w:val="20"/>
        </w:rPr>
        <w:t xml:space="preserve">Credit utilisation is both a leading indicator of financial stress and an actionable signal — unlike static attributes such as age or location, it changes monthly and can be monitored in near real-time. By intervening when utilisation crosses 70% rather than waiting for a missed payment, Geldium can reduce the likelihood of accounts entering collections at all. This approach is operationally feasible (it uses existing customer data and contact infrastructure), regulatory-friendly (outreach is supportive, not punitive), and directly tied to a measurable financial outcome.</w:t>
      </w:r>
    </w:p>
    <w:p>
      <w:pPr>
        <w:spacing w:after="0" w:before="120"/>
      </w:pPr>
      <w:r>
        <w:t xml:space="preserve"/>
      </w:r>
    </w:p>
    <w:p>
      <w:pPr>
        <w:pBdr>
          <w:bottom w:val="single" w:color="2E75B6" w:sz="8" w:space="3"/>
        </w:pBdr>
        <w:spacing w:after="100" w:before="200"/>
      </w:pPr>
      <w:r>
        <w:rPr>
          <w:rFonts w:ascii="Arial" w:cs="Arial" w:eastAsia="Arial" w:hAnsi="Arial"/>
          <w:b/>
          <w:bCs/>
          <w:caps/>
          <w:color w:val="1F3864"/>
          <w:sz w:val="26"/>
          <w:szCs w:val="26"/>
        </w:rPr>
        <w:t xml:space="preserve">3. Ethical and Responsible AI Considerations</w:t>
      </w:r>
    </w:p>
    <w:p>
      <w:pPr>
        <w:spacing w:after="60" w:before="140"/>
      </w:pPr>
      <w:r>
        <w:rPr>
          <w:rFonts w:ascii="Arial" w:cs="Arial" w:eastAsia="Arial" w:hAnsi="Arial"/>
          <w:b/>
          <w:bCs/>
          <w:color w:val="1A6B72"/>
          <w:sz w:val="21"/>
          <w:szCs w:val="21"/>
        </w:rPr>
        <w:t xml:space="preserve">Fairness Risks and Mitigations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480"/>
      </w:tblGrid>
      <w:tr>
        <w:tc>
          <w:tcPr>
            <w:tcW w:type="dxa" w:w="3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Fairness Risk</w:t>
            </w:r>
          </w:p>
        </w:tc>
        <w:tc>
          <w:tcPr>
            <w:tcW w:type="dxa" w:w="36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Why It Arises</w:t>
            </w:r>
          </w:p>
        </w:tc>
        <w:tc>
          <w:tcPr>
            <w:tcW w:type="dxa" w:w="348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19"/>
                <w:szCs w:val="19"/>
              </w:rPr>
              <w:t xml:space="preserve">Mitigation Strategy</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Proxy discrimination via Location or Employment_Status</w:t>
            </w:r>
          </w:p>
        </w:tc>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These features may correlate with protected characteristics (e.g., ethnicity, socioeconomic class), causing the model to produce systematically lower scores for certain demographic groups.</w:t>
            </w:r>
          </w:p>
        </w:tc>
        <w:tc>
          <w:tcPr>
            <w:tcW w:type="dxa" w:w="34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000000"/>
                <w:sz w:val="19"/>
                <w:szCs w:val="19"/>
              </w:rPr>
              <w:t xml:space="preserve">Run disparate impact checks across sub-groups; if impact ratio &lt; 0.80, remove or downweight the offending feature. Review SHAP values to detect proxy effects.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Class imbalance leading to biased predictions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If delinquent accounts are rare in the training data, the model may under-predict risk for minority groups who are already under-represented.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Apply SMOTE resampling during training; evaluate recall separately for each customer sub-group to ensure no group is disproportionately missed.</w:t>
            </w:r>
          </w:p>
        </w:tc>
      </w:tr>
    </w:tbl>
    <w:p>
      <w:pPr>
        <w:spacing w:after="0" w:before="100"/>
      </w:pPr>
      <w:r>
        <w:t xml:space="preserve"/>
      </w:r>
    </w:p>
    <w:p>
      <w:pPr>
        <w:spacing w:after="60" w:before="140"/>
      </w:pPr>
      <w:r>
        <w:rPr>
          <w:rFonts w:ascii="Arial" w:cs="Arial" w:eastAsia="Arial" w:hAnsi="Arial"/>
          <w:b/>
          <w:bCs/>
          <w:color w:val="1A6B72"/>
          <w:sz w:val="21"/>
          <w:szCs w:val="21"/>
        </w:rPr>
        <w:t xml:space="preserve">Explainability for Non-Technical Stakeholders</w:t>
      </w:r>
    </w:p>
    <w:p>
      <w:pPr>
        <w:spacing w:after="50" w:before="50"/>
      </w:pPr>
      <w:r>
        <w:rPr>
          <w:rFonts w:ascii="Arial" w:cs="Arial" w:eastAsia="Arial" w:hAnsi="Arial"/>
          <w:b w:val="false"/>
          <w:bCs w:val="false"/>
          <w:sz w:val="20"/>
          <w:szCs w:val="20"/>
        </w:rPr>
        <w:t xml:space="preserve">The XGBoost model produces a delinquency risk score between 0 and 1. In plain language: a score of 0.80 means the model believes there is an 80% chance this customer will miss a payment in the next 90 days, based on their recent payment history, how much of their credit they are using, and their debt relative to their income. Collections agents will see the top three reasons behind each score — for example: 'This customer has missed 4 payments in the last 6 months' — so decisions are never based on a number alone.</w:t>
      </w:r>
    </w:p>
    <w:p>
      <w:pPr>
        <w:spacing w:after="0" w:before="80"/>
      </w:pPr>
      <w:r>
        <w:t xml:space="preserve"/>
      </w:r>
    </w:p>
    <w:p>
      <w:pPr>
        <w:spacing w:after="60" w:before="140"/>
      </w:pPr>
      <w:r>
        <w:rPr>
          <w:rFonts w:ascii="Arial" w:cs="Arial" w:eastAsia="Arial" w:hAnsi="Arial"/>
          <w:b/>
          <w:bCs/>
          <w:color w:val="1A6B72"/>
          <w:sz w:val="21"/>
          <w:szCs w:val="21"/>
        </w:rPr>
        <w:t xml:space="preserve">Responsible AI Commitments</w:t>
      </w:r>
    </w:p>
    <w:p>
      <w:pPr>
        <w:pStyle w:val="ListParagraph"/>
        <w:numPr>
          <w:ilvl w:val="0"/>
          <w:numId w:val="2"/>
        </w:numPr>
        <w:spacing w:after="50" w:before="50"/>
      </w:pPr>
      <w:r>
        <w:rPr>
          <w:rFonts w:ascii="Arial" w:cs="Arial" w:eastAsia="Arial" w:hAnsi="Arial"/>
          <w:b/>
          <w:bCs/>
          <w:sz w:val="20"/>
          <w:szCs w:val="20"/>
        </w:rPr>
        <w:t xml:space="preserve">Transparency: </w:t>
      </w:r>
      <w:r>
        <w:rPr>
          <w:rFonts w:ascii="Arial" w:cs="Arial" w:eastAsia="Arial" w:hAnsi="Arial"/>
          <w:sz w:val="20"/>
          <w:szCs w:val="20"/>
        </w:rPr>
        <w:t xml:space="preserve">Every model-driven decision will be accompanied by a plain-language explanation available to the customer on request, in line with regulatory requirements.</w:t>
      </w:r>
    </w:p>
    <w:p>
      <w:pPr>
        <w:pStyle w:val="ListParagraph"/>
        <w:numPr>
          <w:ilvl w:val="0"/>
          <w:numId w:val="2"/>
        </w:numPr>
        <w:spacing w:after="50" w:before="50"/>
      </w:pPr>
      <w:r>
        <w:rPr>
          <w:rFonts w:ascii="Arial" w:cs="Arial" w:eastAsia="Arial" w:hAnsi="Arial"/>
          <w:b/>
          <w:bCs/>
          <w:sz w:val="20"/>
          <w:szCs w:val="20"/>
        </w:rPr>
        <w:t xml:space="preserve">Accountability: </w:t>
      </w:r>
      <w:r>
        <w:rPr>
          <w:rFonts w:ascii="Arial" w:cs="Arial" w:eastAsia="Arial" w:hAnsi="Arial"/>
          <w:sz w:val="20"/>
          <w:szCs w:val="20"/>
        </w:rPr>
        <w:t xml:space="preserve">A designated model owner will review performance metrics and fairness checks monthly and escalate any anomaly to the risk committee.</w:t>
      </w:r>
    </w:p>
    <w:p>
      <w:pPr>
        <w:pStyle w:val="ListParagraph"/>
        <w:numPr>
          <w:ilvl w:val="0"/>
          <w:numId w:val="2"/>
        </w:numPr>
        <w:spacing w:after="50" w:before="50"/>
      </w:pPr>
      <w:r>
        <w:rPr>
          <w:rFonts w:ascii="Arial" w:cs="Arial" w:eastAsia="Arial" w:hAnsi="Arial"/>
          <w:b/>
          <w:bCs/>
          <w:sz w:val="20"/>
          <w:szCs w:val="20"/>
        </w:rPr>
        <w:t xml:space="preserve">Data privacy: </w:t>
      </w:r>
      <w:r>
        <w:rPr>
          <w:rFonts w:ascii="Arial" w:cs="Arial" w:eastAsia="Arial" w:hAnsi="Arial"/>
          <w:sz w:val="20"/>
          <w:szCs w:val="20"/>
        </w:rPr>
        <w:t xml:space="preserve">Only the minimum data fields required for prediction will be used. Location will be reviewed for necessity before deployment and excluded if it does not materially improve accuracy.</w:t>
      </w:r>
    </w:p>
    <w:p>
      <w:pPr>
        <w:pStyle w:val="ListParagraph"/>
        <w:numPr>
          <w:ilvl w:val="0"/>
          <w:numId w:val="2"/>
        </w:numPr>
        <w:spacing w:after="50" w:before="50"/>
      </w:pPr>
      <w:r>
        <w:rPr>
          <w:rFonts w:ascii="Arial" w:cs="Arial" w:eastAsia="Arial" w:hAnsi="Arial"/>
          <w:b/>
          <w:bCs/>
          <w:sz w:val="20"/>
          <w:szCs w:val="20"/>
        </w:rPr>
        <w:t xml:space="preserve">Human oversight: </w:t>
      </w:r>
      <w:r>
        <w:rPr>
          <w:rFonts w:ascii="Arial" w:cs="Arial" w:eastAsia="Arial" w:hAnsi="Arial"/>
          <w:sz w:val="20"/>
          <w:szCs w:val="20"/>
        </w:rPr>
        <w:t xml:space="preserve">Borderline predictions (score 0.45–0.55) will be routed for manual agent review rather than automated action, ensuring humans remain in the decision loop.</w:t>
      </w:r>
    </w:p>
    <w:p>
      <w:pPr>
        <w:spacing w:after="0" w:before="100"/>
      </w:pPr>
      <w:r>
        <w:t xml:space="preserve"/>
      </w:r>
    </w:p>
    <w:p>
      <w:pPr>
        <w:pBdr>
          <w:top w:val="single" w:color="2E75B6" w:sz="4" w:space="4"/>
        </w:pBdr>
        <w:spacing w:after="60" w:before="80"/>
      </w:pPr>
      <w:r>
        <w:rPr>
          <w:rFonts w:ascii="Arial" w:cs="Arial" w:eastAsia="Arial" w:hAnsi="Arial"/>
          <w:i/>
          <w:iCs/>
          <w:color w:val="777777"/>
          <w:sz w:val="17"/>
          <w:szCs w:val="17"/>
        </w:rPr>
        <w:t xml:space="preserve">This report was prepared using AI-assisted analysis as part of the Tata Data Analytics Programme. All recommendations are indicative and subject to further validation before operational deployment.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3"/>
      </w:pBdr>
      <w:tabs>
        <w:tab w:val="right" w:pos="9026"/>
      </w:tabs>
      <w:spacing w:after="0" w:before="80"/>
    </w:pPr>
    <w:r>
      <w:rPr>
        <w:rFonts w:ascii="Arial" w:cs="Arial" w:eastAsia="Arial" w:hAnsi="Arial"/>
        <w:color w:val="777777"/>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777777"/>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tabs>
        <w:tab w:val="right" w:pos="9026"/>
      </w:tabs>
      <w:spacing w:after="120" w:before="0"/>
    </w:pPr>
    <w:r>
      <w:rPr>
        <w:rFonts w:ascii="Arial" w:cs="Arial" w:eastAsia="Arial" w:hAnsi="Arial"/>
        <w:b/>
        <w:bCs/>
        <w:caps/>
        <w:color w:val="1F3864"/>
        <w:sz w:val="17"/>
        <w:szCs w:val="17"/>
      </w:rPr>
      <w:t xml:space="preserve">GELDIUM FINANCIAL SERVICES</w:t>
    </w:r>
    <w:r>
      <w:rPr>
        <w:rFonts w:ascii="Arial" w:cs="Arial" w:eastAsia="Arial" w:hAnsi="Arial"/>
        <w:sz w:val="17"/>
        <w:szCs w:val="17"/>
      </w:rPr>
      <w:t xml:space="preserve">	</w:t>
    </w:r>
    <w:r>
      <w:rPr>
        <w:rFonts w:ascii="Arial" w:cs="Arial" w:eastAsia="Arial" w:hAnsi="Arial"/>
        <w:color w:val="777777"/>
        <w:sz w:val="17"/>
        <w:szCs w:val="17"/>
      </w:rPr>
      <w:t xml:space="preserve">Business Summary Report — Collections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2026-05-21T06:47:51.894Z</dcterms:created>
  <dcterms:modified xsi:type="dcterms:W3CDTF">2026-05-21T06:47:51.894Z</dcterms:modified>
</cp:coreProperties>
</file>

<file path=docProps/custom.xml><?xml version="1.0" encoding="utf-8"?>
<Properties xmlns="http://schemas.openxmlformats.org/officeDocument/2006/custom-properties" xmlns:vt="http://schemas.openxmlformats.org/officeDocument/2006/docPropsVTypes"/>
</file>