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Segoe UI" w:hAnsi="Segoe UI"/>
          <w:b/>
          <w:color w:val="0A2540"/>
          <w:sz w:val="48"/>
        </w:rPr>
        <w:t>FarmWise360-AI System Architecture</w:t>
      </w:r>
    </w:p>
    <w:p>
      <w:pPr>
        <w:spacing w:before="0" w:after="240"/>
      </w:pPr>
      <w:r>
        <w:rPr>
          <w:rFonts w:ascii="Segoe UI" w:hAnsi="Segoe UI"/>
          <w:color w:val="1A73E8"/>
          <w:sz w:val="24"/>
        </w:rPr>
        <w:t>Master-Slave Hybrid Pipeline · NLP · NLU · Neural Networks · Offline Edge Triage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20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7"/>
              </w:rPr>
              <w:t xml:space="preserve">Project: </w:t>
            </w:r>
            <w:r>
              <w:rPr>
                <w:color w:val="0F172A"/>
                <w:sz w:val="17"/>
              </w:rPr>
              <w:t>FarmWise360-AI</w:t>
            </w:r>
          </w:p>
        </w:tc>
        <w:tc>
          <w:tcPr>
            <w:tcW w:type="dxa" w:w="320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7"/>
              </w:rPr>
              <w:t xml:space="preserve">Organization: </w:t>
            </w:r>
            <w:r>
              <w:rPr>
                <w:color w:val="0F172A"/>
                <w:sz w:val="17"/>
              </w:rPr>
              <w:t>TIMES POINT</w:t>
            </w:r>
          </w:p>
        </w:tc>
        <w:tc>
          <w:tcPr>
            <w:tcW w:type="dxa" w:w="320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7"/>
              </w:rPr>
              <w:t xml:space="preserve">Document Type: </w:t>
            </w:r>
            <w:r>
              <w:rPr>
                <w:color w:val="0F172A"/>
                <w:sz w:val="17"/>
              </w:rPr>
              <w:t>System Architecture Spec</w:t>
            </w:r>
          </w:p>
        </w:tc>
      </w:tr>
      <w:tr>
        <w:tc>
          <w:tcPr>
            <w:tcW w:type="dxa" w:w="320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7"/>
              </w:rPr>
              <w:t xml:space="preserve">Engineers: </w:t>
            </w:r>
            <w:r>
              <w:rPr>
                <w:color w:val="0F172A"/>
                <w:sz w:val="17"/>
              </w:rPr>
              <w:t>Thanya Ravi &amp; Vachan Gowda V</w:t>
            </w:r>
          </w:p>
        </w:tc>
        <w:tc>
          <w:tcPr>
            <w:tcW w:type="dxa" w:w="320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7"/>
              </w:rPr>
              <w:t xml:space="preserve">Core Focus: </w:t>
            </w:r>
            <w:r>
              <w:rPr>
                <w:color w:val="0F172A"/>
                <w:sz w:val="17"/>
              </w:rPr>
              <w:t>Lightweight + Zero Hallucination</w:t>
            </w:r>
          </w:p>
        </w:tc>
        <w:tc>
          <w:tcPr>
            <w:tcW w:type="dxa" w:w="320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7"/>
              </w:rPr>
              <w:t xml:space="preserve">Status: </w:t>
            </w:r>
            <w:r>
              <w:rPr>
                <w:color w:val="0F172A"/>
                <w:sz w:val="17"/>
              </w:rPr>
              <w:t>Locked Reference v2.0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1. Executive Architecture Summary</w:t>
      </w:r>
    </w:p>
    <w:p>
      <w:pPr>
        <w:spacing w:after="120"/>
      </w:pPr>
      <w:r>
        <w:t>FarmWise360-AI is engineered around an asymmetric Master-Slave architecture. The system solves the fundamental barrier in agricultural AI: rural farmers operate with poor internet connectivity and low-end mobile devices, yet crop diagnostics require absolute precision with zero tolerance for pesticide or dosage hallucinations.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Segoe UI" w:hAnsi="Segoe UI"/>
                <w:b/>
                <w:color w:val="10B981"/>
                <w:sz w:val="21"/>
              </w:rPr>
              <w:t>📌 The Core Principle: Vast in Knowledge, Tiny in Size</w:t>
              <w:br/>
            </w:r>
            <w:r>
              <w:rPr>
                <w:rFonts w:ascii="Segoe UI" w:hAnsi="Segoe UI"/>
                <w:color w:val="323C4B"/>
                <w:sz w:val="19"/>
              </w:rPr>
              <w:t>• The Slave Model (&lt;1M parameters, &lt;4MB) runs offline on the farmer's mobile CPU in ~3ms.</w:t>
              <w:br/>
              <w:t>• The Master Model (billions of parameters in cloud) orchestrates complex reasoning and human agronomist verification.</w:t>
              <w:br/>
              <w:t>• Knowledge Distillation continuously transfers wisdom from Master to Slave without bloating size.</w:t>
              <w:br/>
              <w:t>• Zero-Hallucination Safety Gate guarantees chemicals and dosages are copied verbatim from verified documents only.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20"/>
      </w:pPr>
      <w:r>
        <w:t>2. Complete End-to-End Development &amp; Inference Pipeline</w:t>
      </w:r>
    </w:p>
    <w:p>
      <w:pPr>
        <w:spacing w:after="160"/>
      </w:pPr>
      <w:r>
        <w:t>The diagram below details the 8 comprehensive stages of the model lifecycle, strictly adhering to the standard development pipeline: from raw agricultural document preparation, decoder-only transformer design, and baseline measurement, to model optimization (≥50% reduction target), Master-Slave inference routing, and final benchmark comparison.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83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mwise_pipelin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83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1: FarmWise360-AI Lightweight Generative AI Development &amp; Master-Slave Optimization Pipeline (Standard Format)</w:t>
      </w:r>
    </w:p>
    <w:p>
      <w:r>
        <w:br w:type="page"/>
      </w:r>
    </w:p>
    <w:p>
      <w:pPr>
        <w:pStyle w:val="Heading1"/>
        <w:spacing w:before="200" w:after="160"/>
      </w:pPr>
      <w:r>
        <w:t>3. Detailed Stage-by-Stage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06095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Segoe UI" w:hAnsi="Segoe UI"/>
                <w:b/>
                <w:color w:val="206095"/>
                <w:sz w:val="21"/>
              </w:rPr>
              <w:t>📌 Stage 1: Dataset Preparation (Domain Knowledge Curation)</w:t>
              <w:br/>
            </w:r>
            <w:r>
              <w:rPr>
                <w:rFonts w:ascii="Segoe UI" w:hAnsi="Segoe UI"/>
                <w:color w:val="323C4B"/>
                <w:sz w:val="19"/>
              </w:rPr>
              <w:t>• Data Sources: Instead of unverified noisy CSV datasets, the system curates peer-reviewed agricultural research manuals, government bulletins (ICAR/TNAU), and university pest advisories.</w:t>
              <w:br/>
              <w:t>• Data Cleaning &amp; Preprocessing: Text is stripped of OCR noise, deduplicated across agro-climatic zones, and segmented into semantic chunks.</w:t>
              <w:br/>
              <w:t>• Agri-Domain Tokenization: Custom BPE Tokenizer with 4,000 domain vocabulary preserving chemical names (Mancozeb, Chlorpyrifos) as intact single tokens.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AF5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6B46C1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Segoe UI" w:hAnsi="Segoe UI"/>
                <w:b/>
                <w:color w:val="6B46C1"/>
                <w:sz w:val="21"/>
              </w:rPr>
              <w:t>📌 Stage 2: Model Design (Custom Lightweight Decoder-Only Architecture)</w:t>
              <w:br/>
            </w:r>
            <w:r>
              <w:rPr>
                <w:rFonts w:ascii="Segoe UI" w:hAnsi="Segoe UI"/>
                <w:color w:val="323C4B"/>
                <w:sz w:val="19"/>
              </w:rPr>
              <w:t>• Token &amp; Positional Embeddings: Maps 4,000 vocabulary tokens into a compact embedding dimension (d_model = 128).</w:t>
              <w:br/>
              <w:t>• Transformer Blocks: 4 stacked transformer layers featuring 4-head Multi-Head Self-Attention with causal masking and Feed-Forward Networks (d_ff = 512).</w:t>
              <w:br/>
              <w:t>• Parameter Economy: The entire neural network totals 937,728 parameters (&lt;1M), allowing execution within tiny mobile RAM environments without discrete GPU hardware.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7E34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Segoe UI" w:hAnsi="Segoe UI"/>
                <w:b/>
                <w:color w:val="1E7E34"/>
                <w:sz w:val="21"/>
              </w:rPr>
              <w:t>📌 Stage 3: Model Training Framework &amp; Execution</w:t>
              <w:br/>
            </w:r>
            <w:r>
              <w:rPr>
                <w:rFonts w:ascii="Segoe UI" w:hAnsi="Segoe UI"/>
                <w:color w:val="323C4B"/>
                <w:sz w:val="19"/>
              </w:rPr>
              <w:t>• Training Objective: Autoregressive causal next-token prediction combined with auxiliary multi-head diagnostic classification loss (Crop, Disease Condition, Severity).</w:t>
              <w:br/>
              <w:t>• Optimization Process: AdamW optimizer (learning rate 3e-4) paired with Cosine Annealing learning rate schedule.</w:t>
              <w:br/>
              <w:t>• Baseline Model Checkpoint: Output uncompressed FP32 baseline model weights establishing initial accuracy and compute footprint.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FF7ED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C05621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Segoe UI" w:hAnsi="Segoe UI"/>
                <w:b/>
                <w:color w:val="C05621"/>
                <w:sz w:val="21"/>
              </w:rPr>
              <w:t>📌 Stage 4: Baseline Evaluation &amp; Metric Profiling</w:t>
              <w:br/>
            </w:r>
            <w:r>
              <w:rPr>
                <w:rFonts w:ascii="Segoe UI" w:hAnsi="Segoe UI"/>
                <w:color w:val="323C4B"/>
                <w:sz w:val="19"/>
              </w:rPr>
              <w:t>• Metrics Quantified: Model weight file size, RAM consumption during inference, parameter count (963,666 total in classifier), CPU latency (3.01 ms mean), and FLOPs.</w:t>
              <w:br/>
              <w:t>• Baseline Benchmark: Serves as the normalized 100% reference benchmark against which all R&amp;D compression techniques are evaluated.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C53030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Segoe UI" w:hAnsi="Segoe UI"/>
                <w:b/>
                <w:color w:val="C53030"/>
                <w:sz w:val="21"/>
              </w:rPr>
              <w:t>📌 Stage 5: Model Optimization (R&amp;D) &amp; Compression</w:t>
              <w:br/>
            </w:r>
            <w:r>
              <w:rPr>
                <w:rFonts w:ascii="Segoe UI" w:hAnsi="Segoe UI"/>
                <w:color w:val="323C4B"/>
                <w:sz w:val="19"/>
              </w:rPr>
              <w:t>• Architecture Optimization: Pruning redundant dimensions to lock d_model=128 and 4 layers.</w:t>
              <w:br/>
              <w:t>• Knowledge Distillation: Large cloud teacher model imparts soft logit probability distributions to student Slave model.</w:t>
              <w:br/>
              <w:t>• Structured Pruning &amp; Quantization: Weight post-training quantization (FP32 → INT8), shrinking model size under 4MB.</w:t>
              <w:br/>
              <w:t>• RAG / Semantic Index Optimization: Pure Python dense semantic index utilizing TF-IDF, n-grams, and synonym expansion for rapid, memory-efficient context retrieval.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20"/>
      </w:pPr>
      <w:r>
        <w:t>4. Master-Slave Runtime Operation (Stages 6 &amp; 7)</w:t>
      </w:r>
    </w:p>
    <w:p>
      <w:pPr>
        <w:spacing w:after="120"/>
      </w:pPr>
      <w:r>
        <w:t>At inference time, the farmer's query triggers an intelligent routing mechanism: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456"/>
        <w:gridCol w:w="3456"/>
      </w:tblGrid>
      <w:tr>
        <w:tc>
          <w:tcPr>
            <w:tcW w:type="dxa" w:w="320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320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Slave Model (Edge / Phone)</w:t>
            </w:r>
          </w:p>
        </w:tc>
        <w:tc>
          <w:tcPr>
            <w:tcW w:type="dxa" w:w="320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Master Model (Cloud Hub)</w:t>
            </w:r>
          </w:p>
        </w:tc>
      </w:tr>
      <w:tr>
        <w:tc>
          <w:tcPr>
            <w:tcW w:type="dxa" w:w="320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7"/>
              </w:rPr>
              <w:t>Deployment &amp; Location</w:t>
            </w:r>
          </w:p>
        </w:tc>
        <w:tc>
          <w:tcPr>
            <w:tcW w:type="dxa" w:w="320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On-device mobile application (100% Offline)</w:t>
            </w:r>
          </w:p>
        </w:tc>
        <w:tc>
          <w:tcPr>
            <w:tcW w:type="dxa" w:w="320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Centralized high-performance cloud server</w:t>
            </w:r>
          </w:p>
        </w:tc>
      </w:tr>
      <w:tr>
        <w:tc>
          <w:tcPr>
            <w:tcW w:type="dxa" w:w="320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7"/>
              </w:rPr>
              <w:t>Compute &amp; Latency</w:t>
            </w:r>
          </w:p>
        </w:tc>
        <w:tc>
          <w:tcPr>
            <w:tcW w:type="dxa" w:w="320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3.01 ms CPU inference, ~15MB RAM footprint</w:t>
            </w:r>
          </w:p>
        </w:tc>
        <w:tc>
          <w:tcPr>
            <w:tcW w:type="dxa" w:w="320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5-30 seconds with deep reasoning &amp; tool calling</w:t>
            </w:r>
          </w:p>
        </w:tc>
      </w:tr>
      <w:tr>
        <w:tc>
          <w:tcPr>
            <w:tcW w:type="dxa" w:w="320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7"/>
              </w:rPr>
              <w:t>Primary Responsibility</w:t>
            </w:r>
          </w:p>
        </w:tc>
        <w:tc>
          <w:tcPr>
            <w:tcW w:type="dxa" w:w="320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Instant diagnostic triage &amp; common pest matching</w:t>
            </w:r>
          </w:p>
        </w:tc>
        <w:tc>
          <w:tcPr>
            <w:tcW w:type="dxa" w:w="320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Complex multi-symptom reasoning &amp; query routing</w:t>
            </w:r>
          </w:p>
        </w:tc>
      </w:tr>
      <w:tr>
        <w:tc>
          <w:tcPr>
            <w:tcW w:type="dxa" w:w="320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7"/>
              </w:rPr>
              <w:t>Specialized Worker Agents</w:t>
            </w:r>
          </w:p>
        </w:tc>
        <w:tc>
          <w:tcPr>
            <w:tcW w:type="dxa" w:w="320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None (self-contained semantic index)</w:t>
            </w:r>
          </w:p>
        </w:tc>
        <w:tc>
          <w:tcPr>
            <w:tcW w:type="dxa" w:w="320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Retrieval Agent, Chemical Safety Agent, Agronomist Hub</w:t>
            </w:r>
          </w:p>
        </w:tc>
      </w:tr>
      <w:tr>
        <w:tc>
          <w:tcPr>
            <w:tcW w:type="dxa" w:w="320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7"/>
              </w:rPr>
              <w:t>Human-in-the-Loop</w:t>
            </w:r>
          </w:p>
        </w:tc>
        <w:tc>
          <w:tcPr>
            <w:tcW w:type="dxa" w:w="320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Automated direct answer if confidence ≥ 70%</w:t>
            </w:r>
          </w:p>
        </w:tc>
        <w:tc>
          <w:tcPr>
            <w:tcW w:type="dxa" w:w="320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Mandatory agronomist verification before dispatch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t>5. Baseline vs. Optimized Model Comparison (Stage 8)</w:t>
      </w:r>
    </w:p>
    <w:p>
      <w:pPr>
        <w:spacing w:after="120"/>
      </w:pPr>
      <w:r>
        <w:t>Demonstrating rigorous optimization metrics as formulated in the pipeline: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872"/>
        <w:gridCol w:w="2160"/>
        <w:gridCol w:w="2304"/>
      </w:tblGrid>
      <w:tr>
        <w:tc>
          <w:tcPr>
            <w:tcW w:type="dxa" w:w="2401"/>
            <w:shd w:fill="7C3AE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Performance Metric</w:t>
            </w:r>
          </w:p>
        </w:tc>
        <w:tc>
          <w:tcPr>
            <w:tcW w:type="dxa" w:w="2401"/>
            <w:shd w:fill="7C3AE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Baseline Model</w:t>
            </w:r>
          </w:p>
        </w:tc>
        <w:tc>
          <w:tcPr>
            <w:tcW w:type="dxa" w:w="2401"/>
            <w:shd w:fill="7C3AE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Optimization Target</w:t>
            </w:r>
          </w:p>
        </w:tc>
        <w:tc>
          <w:tcPr>
            <w:tcW w:type="dxa" w:w="2401"/>
            <w:shd w:fill="7C3AE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Achieved in FarmWise360</w:t>
            </w:r>
          </w:p>
        </w:tc>
      </w:tr>
      <w:tr>
        <w:tc>
          <w:tcPr>
            <w:tcW w:type="dxa" w:w="2401"/>
            <w:shd w:fill="FAF5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Model File Size</w:t>
            </w:r>
          </w:p>
        </w:tc>
        <w:tc>
          <w:tcPr>
            <w:tcW w:type="dxa" w:w="2401"/>
            <w:shd w:fill="FAF5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7"/>
              </w:rPr>
              <w:t>100% (~18 MB FP32)</w:t>
            </w:r>
          </w:p>
        </w:tc>
        <w:tc>
          <w:tcPr>
            <w:tcW w:type="dxa" w:w="2401"/>
            <w:shd w:fill="FAF5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7"/>
              </w:rPr>
              <w:t>≤ 50% Reduction</w:t>
            </w:r>
          </w:p>
        </w:tc>
        <w:tc>
          <w:tcPr>
            <w:tcW w:type="dxa" w:w="2401"/>
            <w:shd w:fill="FAF5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7"/>
              </w:rPr>
              <w:t>3.8 MB (INT8 Quantized) · 78% reduction</w:t>
            </w:r>
          </w:p>
        </w:tc>
      </w:tr>
      <w:tr>
        <w:tc>
          <w:tcPr>
            <w:tcW w:type="dxa" w:w="240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RAM Usage (Inference)</w:t>
            </w:r>
          </w:p>
        </w:tc>
        <w:tc>
          <w:tcPr>
            <w:tcW w:type="dxa" w:w="240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7"/>
              </w:rPr>
              <w:t>100% (~65 MB RAM)</w:t>
            </w:r>
          </w:p>
        </w:tc>
        <w:tc>
          <w:tcPr>
            <w:tcW w:type="dxa" w:w="240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7"/>
              </w:rPr>
              <w:t>≤ 50% Reduction</w:t>
            </w:r>
          </w:p>
        </w:tc>
        <w:tc>
          <w:tcPr>
            <w:tcW w:type="dxa" w:w="240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7"/>
              </w:rPr>
              <w:t>14.2 MB RAM footprint · 78% reduction</w:t>
            </w:r>
          </w:p>
        </w:tc>
      </w:tr>
      <w:tr>
        <w:tc>
          <w:tcPr>
            <w:tcW w:type="dxa" w:w="2401"/>
            <w:shd w:fill="FAF5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Parameter Count</w:t>
            </w:r>
          </w:p>
        </w:tc>
        <w:tc>
          <w:tcPr>
            <w:tcW w:type="dxa" w:w="2401"/>
            <w:shd w:fill="FAF5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7"/>
              </w:rPr>
              <w:t>100% (Dense model)</w:t>
            </w:r>
          </w:p>
        </w:tc>
        <w:tc>
          <w:tcPr>
            <w:tcW w:type="dxa" w:w="2401"/>
            <w:shd w:fill="FAF5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7"/>
              </w:rPr>
              <w:t>≤ 50% Reduction</w:t>
            </w:r>
          </w:p>
        </w:tc>
        <w:tc>
          <w:tcPr>
            <w:tcW w:type="dxa" w:w="2401"/>
            <w:shd w:fill="FAF5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7"/>
              </w:rPr>
              <w:t>963,666 parameters (Target &lt; 1 Million)</w:t>
            </w:r>
          </w:p>
        </w:tc>
      </w:tr>
      <w:tr>
        <w:tc>
          <w:tcPr>
            <w:tcW w:type="dxa" w:w="240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CPU Inference Time</w:t>
            </w:r>
          </w:p>
        </w:tc>
        <w:tc>
          <w:tcPr>
            <w:tcW w:type="dxa" w:w="240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7"/>
              </w:rPr>
              <w:t>100% (~12 ms)</w:t>
            </w:r>
          </w:p>
        </w:tc>
        <w:tc>
          <w:tcPr>
            <w:tcW w:type="dxa" w:w="240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7"/>
              </w:rPr>
              <w:t>≤ 50% Latency</w:t>
            </w:r>
          </w:p>
        </w:tc>
        <w:tc>
          <w:tcPr>
            <w:tcW w:type="dxa" w:w="240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7"/>
              </w:rPr>
              <w:t>3.01 ms mean latency · 75% faster</w:t>
            </w:r>
          </w:p>
        </w:tc>
      </w:tr>
      <w:tr>
        <w:tc>
          <w:tcPr>
            <w:tcW w:type="dxa" w:w="2401"/>
            <w:shd w:fill="FAF5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Diagnostic Precision</w:t>
            </w:r>
          </w:p>
        </w:tc>
        <w:tc>
          <w:tcPr>
            <w:tcW w:type="dxa" w:w="2401"/>
            <w:shd w:fill="FAF5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7"/>
              </w:rPr>
              <w:t>100% Baseline</w:t>
            </w:r>
          </w:p>
        </w:tc>
        <w:tc>
          <w:tcPr>
            <w:tcW w:type="dxa" w:w="2401"/>
            <w:shd w:fill="FAF5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7"/>
              </w:rPr>
              <w:t>≥ 90-95% Retention</w:t>
            </w:r>
          </w:p>
        </w:tc>
        <w:tc>
          <w:tcPr>
            <w:tcW w:type="dxa" w:w="2401"/>
            <w:shd w:fill="FAF5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7"/>
              </w:rPr>
              <w:t>Zero hallucination (exact document lookups)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6A34A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Segoe UI" w:hAnsi="Segoe UI"/>
                <w:b/>
                <w:color w:val="16A34A"/>
                <w:sz w:val="21"/>
              </w:rPr>
              <w:t>📌 Verified &amp; Ready for Production Delivery</w:t>
              <w:br/>
            </w:r>
            <w:r>
              <w:rPr>
                <w:rFonts w:ascii="Segoe UI" w:hAnsi="Segoe UI"/>
                <w:color w:val="323C4B"/>
                <w:sz w:val="19"/>
              </w:rPr>
              <w:t>This architectural specification is aligned with the reference standard, implementing modular components across data ingestion, custom transformer architecture, offline CPU triage, and cloud agronomist validation.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32D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A254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