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Arroba Com - Especificaciones Técnicas y Arquitectónicas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Implementación para Infraestructura Nacional de Inteligencia Económica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Visión Técnica y Filosofía de Diseño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arroba.com no se comporta como una base de datos relacional estática [cite: 41, 42]. Su núcleo es un </w:t>
      </w:r>
      <w:r w:rsidDel="00000000" w:rsidR="00000000" w:rsidRPr="00000000">
        <w:rPr>
          <w:b w:val="1"/>
          <w:bCs w:val="1"/>
          <w:rtl w:val="0"/>
        </w:rPr>
        <w:t xml:space="preserve">Economic Knowledge Graph</w:t>
      </w:r>
      <w:r w:rsidDel="00000000" w:rsidR="00000000" w:rsidRPr="00000000">
        <w:rPr>
          <w:rtl w:val="0"/>
        </w:rPr>
        <w:t xml:space="preserve"> diseñado para entender el tejido empresarial español mediante relaciones dinámicas, señales temporales y embeddings vectoriales [cite: 45, 51, 52].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Principio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Descripción Técnica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Multi-identidad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Resolución de identidad económica (Identity Resolution System) que unifica razón social, marca y dominios [cite: 645, 881].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Temporalidad Estricta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Cada métrica (empleados, financieros, scoring) es una serie temporal, no un valor único [cite: 666, 667].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Separación de Capas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Distinción absoluta entre dato bruto (Raw), normalizado, inferido y generado por IA [cite: 688, 689].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Stack Tecnológico (Core)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arquitectura se basa en un </w:t>
      </w:r>
      <w:r w:rsidDel="00000000" w:rsidR="00000000" w:rsidRPr="00000000">
        <w:rPr>
          <w:b w:val="1"/>
          <w:bCs w:val="1"/>
          <w:rtl w:val="0"/>
        </w:rPr>
        <w:t xml:space="preserve">Monolito Modular</w:t>
      </w:r>
      <w:r w:rsidDel="00000000" w:rsidR="00000000" w:rsidRPr="00000000">
        <w:rPr>
          <w:rtl w:val="0"/>
        </w:rPr>
        <w:t xml:space="preserve"> en fase inicial para acelerar la iteración sin la complejidad de microservicios prematuros [cite: 1207, 1208].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+ React + Tailwind + shadcn/ui [cite: 325, 326, 328].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Visualización de Datos:</w:t>
      </w:r>
      <w:r w:rsidDel="00000000" w:rsidR="00000000" w:rsidRPr="00000000">
        <w:rPr>
          <w:rtl w:val="0"/>
        </w:rPr>
        <w:t xml:space="preserve"> Apache ECharts para grafos/heatmaps y AG Grid Enterprise para virtualización de millones de filas [cite: 330, 337].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API:</w:t>
      </w:r>
      <w:r w:rsidDel="00000000" w:rsidR="00000000" w:rsidRPr="00000000">
        <w:rPr>
          <w:rtl w:val="0"/>
        </w:rPr>
        <w:t xml:space="preserve"> FastAPI (Asíncrono) organizado por dominios funcionales [cite: 345, 348, 1187].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Persistencia Políglota: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Operacional:</w:t>
      </w:r>
      <w:r w:rsidDel="00000000" w:rsidR="00000000" w:rsidRPr="00000000">
        <w:rPr>
          <w:rtl w:val="0"/>
        </w:rPr>
        <w:t xml:space="preserve"> MongoDB Atlas [cite: 360, 712].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Búsqueda:</w:t>
      </w:r>
      <w:r w:rsidDel="00000000" w:rsidR="00000000" w:rsidRPr="00000000">
        <w:rPr>
          <w:rtl w:val="0"/>
        </w:rPr>
        <w:t xml:space="preserve"> Meilisearch (Fase 1) con Search Abstraction Layer [cite: 885, 886].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Vectorial:</w:t>
      </w:r>
      <w:r w:rsidDel="00000000" w:rsidR="00000000" w:rsidRPr="00000000">
        <w:rPr>
          <w:rtl w:val="0"/>
        </w:rPr>
        <w:t xml:space="preserve"> Atlas Vector Search para embeddings semánticos [cite: 887].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Grafos:</w:t>
      </w:r>
      <w:r w:rsidDel="00000000" w:rsidR="00000000" w:rsidRPr="00000000">
        <w:rPr>
          <w:rtl w:val="0"/>
        </w:rPr>
        <w:t xml:space="preserve"> Relationships en Mongo (preparado para Neo4j) [cite: 897].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Arquitectura de Datos y Entidades Maestras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El sistema debe implementar un company_id interno como identificador único permanente, desvinculado del CIF legal para permitir trazabilidad histórica [cite: 873].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Esquema de Colecciones (Core)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ind w:left="225" w:right="225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- companies: Perfil maestro y KPIs de lectura rápida [cite: 818, 875].</w:t>
        <w:br w:type="textWrapping"/>
        <w:t xml:space="preserve">- company_financials: Histórico completo (PyG, Balances, Ratios) [cite: 820, 876].</w:t>
        <w:br w:type="textWrapping"/>
        <w:t xml:space="preserve">- signals: Eventos detectados (BORME, Contratación, Web) [cite: 837, 1671].</w:t>
        <w:br w:type="textWrapping"/>
        <w:t xml:space="preserve">- relationships: Vínculos (Ownership, Administración, Competencia) [cite: 846, 896].</w:t>
        <w:br w:type="textWrapping"/>
        <w:t xml:space="preserve">- embeddings: Vectores semánticos de actividad y tesis [cite: 628, 825].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Motores de Inteligencia y Scoring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Ningún score debe ser una "caja negra" [cite: 1602]. Cada cálculo debe incluir un Confidence Score y una narrativa explicativa de sus drivers [cite: 1841, 1854].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Score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Dimensiones Clave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Quality Score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Margen, eficiencia, rentabilidad relativa al sector [cite: 1745, 1747].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M&amp;A Readiness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Estructura societaria, edad founder, sucesión, señales de venta [cite: 1779, 1781].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Buyer Fit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Sinergias, encaje geográfico, EBITDA objetivo, modelo de negocio [cite: 1790, 1792].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Capa Agéntica (Framework de Orquestación)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Los agentes operan sobre datos gobernados mediante herramientas (Tools) específicas, no mediante generación libre de texto [cite: 1391, 2680].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 Analyst Agent:</w:t>
      </w:r>
      <w:r w:rsidDel="00000000" w:rsidR="00000000" w:rsidRPr="00000000">
        <w:rPr>
          <w:rtl w:val="0"/>
        </w:rPr>
        <w:t xml:space="preserve"> Genera taxonomías dinámicas y detecta hubs sectoriales [cite: 2589, 2596].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Valuation Agent:</w:t>
      </w:r>
      <w:r w:rsidDel="00000000" w:rsidR="00000000" w:rsidRPr="00000000">
        <w:rPr>
          <w:rtl w:val="0"/>
        </w:rPr>
        <w:t xml:space="preserve"> Construye hipótesis de múltiplos y escenarios DCF [cite: 2624, 2630].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Matching Agent:</w:t>
      </w:r>
      <w:r w:rsidDel="00000000" w:rsidR="00000000" w:rsidRPr="00000000">
        <w:rPr>
          <w:rtl w:val="0"/>
        </w:rPr>
        <w:t xml:space="preserve"> Cruza tesis de inversión con targets mediante similitud vectorial [cite: 2635, 2640].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Pipeline de Procesamiento y Operaciones (Workers)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Principio: </w:t>
      </w:r>
      <w:r w:rsidDel="00000000" w:rsidR="00000000" w:rsidRPr="00000000">
        <w:rPr>
          <w:b w:val="1"/>
          <w:bCs w:val="1"/>
          <w:rtl w:val="0"/>
        </w:rPr>
        <w:t xml:space="preserve">No calcular métricas pesadas en tiempo real</w:t>
      </w:r>
      <w:r w:rsidDel="00000000" w:rsidR="00000000" w:rsidRPr="00000000">
        <w:rPr>
          <w:rtl w:val="0"/>
        </w:rPr>
        <w:t xml:space="preserve"> [cite: 389, 700].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Ingesta:</w:t>
      </w:r>
      <w:r w:rsidDel="00000000" w:rsidR="00000000" w:rsidRPr="00000000">
        <w:rPr>
          <w:rtl w:val="0"/>
        </w:rPr>
        <w:t xml:space="preserve"> ETLs desde Iberinform, INE, BORME y Contratación Pública [cite: 770, 772, 775].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Normalización:</w:t>
      </w:r>
      <w:r w:rsidDel="00000000" w:rsidR="00000000" w:rsidRPr="00000000">
        <w:rPr>
          <w:rtl w:val="0"/>
        </w:rPr>
        <w:t xml:space="preserve"> Resolución de duplicados y mapeo de taxonomía multivectorial [cite: 780, 788].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Precomputación:</w:t>
      </w:r>
      <w:r w:rsidDel="00000000" w:rsidR="00000000" w:rsidRPr="00000000">
        <w:rPr>
          <w:rtl w:val="0"/>
        </w:rPr>
        <w:t xml:space="preserve"> Generación de rankings, percentiles y clusters en procesos batch via Redis + Celery [cite: 391, 399, 1367].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Indexación:</w:t>
      </w:r>
      <w:r w:rsidDel="00000000" w:rsidR="00000000" w:rsidRPr="00000000">
        <w:rPr>
          <w:rtl w:val="0"/>
        </w:rPr>
        <w:t xml:space="preserve"> Sincronización hacia Meilisearch y Atlas Vector Store [cite: 809, 812].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Roadmap de Implementación Crítica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Fundación de datos, Identity Resolution y Search Engine inicial [cite: 899, 904].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Intelligence Platform (Screener avanzado, Heatmaps y AG Grid) [cite: 907, 912].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Valuation Engine y Generación de Informes PDF vía Playwright [cite: 914, 917].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Matching, Workflows transaccionales (NDA, LOI) y Data Rooms [cite: 919, 922].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La arquitectura debe ser agnóstica al proveedor mediante capas de abstracción (Search Abstraction, LLM Multi-model) para evitar lock-in estratégico [cite: 1566, 4102, 4104].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