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Professional Report Practice</w:t>
      </w:r>
    </w:p>
    <w:p>
      <w:pPr>
        <w:jc w:val="left"/>
      </w:pPr>
      <w:r>
        <w:rPr>
          <w:rFonts w:ascii="Aptos" w:hAnsi="Aptos"/>
          <w:color w:val="5B6573"/>
          <w:sz w:val="20"/>
        </w:rPr>
        <w:t>Service Request Performance - Example narrative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Turning dashboard metrics into written reporting</w:t>
            </w:r>
          </w:p>
        </w:tc>
      </w:tr>
    </w:tbl>
    <w:p/>
    <w:p>
      <w:pPr>
        <w:pStyle w:val="Heading1"/>
      </w:pPr>
      <w:r>
        <w:t>Purpose</w:t>
      </w:r>
    </w:p>
    <w:p>
      <w:r>
        <w:t>Provide a concise operational summary that explains performance rather than only repeating values from charts.</w:t>
      </w:r>
    </w:p>
    <w:p>
      <w:pPr>
        <w:pStyle w:val="Heading1"/>
      </w:pPr>
      <w:r>
        <w:t>Example observations</w:t>
      </w:r>
    </w:p>
    <w:p>
      <w:pPr>
        <w:pStyle w:val="ListBullet"/>
        <w:spacing w:after="40"/>
      </w:pPr>
      <w:r>
        <w:t>Request volume was concentrated in a small number of service categories, suggesting that targeted self-service guidance could reduce repeat demand.</w:t>
      </w:r>
    </w:p>
    <w:p>
      <w:pPr>
        <w:pStyle w:val="ListBullet"/>
        <w:spacing w:after="40"/>
      </w:pPr>
      <w:r>
        <w:t>A portion of requests remained unresolved at the reporting cut-off, so the open backlog should be monitored by age and priority.</w:t>
      </w:r>
    </w:p>
    <w:p>
      <w:pPr>
        <w:pStyle w:val="ListBullet"/>
        <w:spacing w:after="40"/>
      </w:pPr>
      <w:r>
        <w:t>Average handling time varied by request type, which may indicate differences in complexity or process efficiency.</w:t>
      </w:r>
    </w:p>
    <w:p>
      <w:pPr>
        <w:pStyle w:val="Heading1"/>
      </w:pPr>
      <w:r>
        <w:t>Recommended reporting structure</w:t>
      </w:r>
    </w:p>
    <w:p>
      <w:pPr>
        <w:pStyle w:val="ListNumber"/>
        <w:spacing w:after="40"/>
      </w:pPr>
      <w:r>
        <w:t>State the reporting period and data source.</w:t>
      </w:r>
    </w:p>
    <w:p>
      <w:pPr>
        <w:pStyle w:val="ListNumber"/>
        <w:spacing w:after="40"/>
      </w:pPr>
      <w:r>
        <w:t>Present 3-5 key metrics.</w:t>
      </w:r>
    </w:p>
    <w:p>
      <w:pPr>
        <w:pStyle w:val="ListNumber"/>
        <w:spacing w:after="40"/>
      </w:pPr>
      <w:r>
        <w:t>Explain the main movement or exception.</w:t>
      </w:r>
    </w:p>
    <w:p>
      <w:pPr>
        <w:pStyle w:val="ListNumber"/>
        <w:spacing w:after="40"/>
      </w:pPr>
      <w:r>
        <w:t>Identify likely operational impact.</w:t>
      </w:r>
    </w:p>
    <w:p>
      <w:pPr>
        <w:pStyle w:val="ListNumber"/>
        <w:spacing w:after="40"/>
      </w:pPr>
      <w:r>
        <w:t>Recommend a practical follow-up action.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Writing rule</w:t>
              <w:br/>
            </w:r>
            <w:r>
              <w:t>Avoid saying only “the chart shows”. Explain what the result means and why a stakeholder should care.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