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Week 5 Evidence Summary</w:t>
      </w:r>
    </w:p>
    <w:p>
      <w:pPr>
        <w:jc w:val="left"/>
      </w:pPr>
      <w:r>
        <w:rPr>
          <w:rFonts w:ascii="Aptos" w:hAnsi="Aptos"/>
          <w:color w:val="5B6573"/>
          <w:sz w:val="20"/>
        </w:rPr>
        <w:t>Bitbucket and industry-tool review</w:t>
      </w:r>
    </w:p>
    <w:p>
      <w:pPr>
        <w:spacing w:after="160"/>
      </w:pPr>
      <w:r>
        <w:rPr>
          <w:color w:val="375A7F"/>
          <w:sz w:val="16"/>
        </w:rPr>
        <w:t>━━━━━━━━━━━━━━━━━━━━━━━━━━━━━━━━━━━━━━━━━━━━</w:t>
      </w:r>
    </w:p>
    <w:tbl>
      <w:tblPr>
        <w:tblW w:type="auto" w:w="0"/>
        <w:jc w:val="left"/>
        <w:tblLayout w:type="fixed"/>
        <w:tblLook w:firstColumn="1" w:firstRow="1" w:lastColumn="0" w:lastRow="0" w:noHBand="0" w:noVBand="1" w:val="04A0"/>
      </w:tblPr>
      <w:tblGrid>
        <w:gridCol w:w="3408"/>
        <w:gridCol w:w="3408"/>
        <w:gridCol w:w="3408"/>
      </w:tblGrid>
      <w:tr>
        <w:tc>
          <w:tcPr>
            <w:tcW w:type="dxa" w:w="2232"/>
            <w:shd w:fill="375A7F"/>
            <w:vAlign w:val="center"/>
          </w:tcPr>
          <w:p>
            <w:r>
              <w:rPr>
                <w:b/>
                <w:color w:val="FFFFFF"/>
                <w:sz w:val="16"/>
              </w:rPr>
              <w:t>Week</w:t>
            </w:r>
          </w:p>
        </w:tc>
        <w:tc>
          <w:tcPr>
            <w:tcW w:type="dxa" w:w="2376"/>
            <w:shd w:fill="375A7F"/>
            <w:vAlign w:val="center"/>
          </w:tcPr>
          <w:p>
            <w:r>
              <w:rPr>
                <w:b/>
                <w:color w:val="FFFFFF"/>
                <w:sz w:val="16"/>
              </w:rPr>
              <w:t>Student</w:t>
            </w:r>
          </w:p>
        </w:tc>
        <w:tc>
          <w:tcPr>
            <w:tcW w:type="dxa" w:w="4608"/>
            <w:shd w:fill="375A7F"/>
            <w:vAlign w:val="center"/>
          </w:tcPr>
          <w:p>
            <w:r>
              <w:rPr>
                <w:b/>
                <w:color w:val="FFFFFF"/>
                <w:sz w:val="16"/>
              </w:rPr>
              <w:t>Focus</w:t>
            </w:r>
          </w:p>
        </w:tc>
      </w:tr>
      <w:tr>
        <w:tc>
          <w:tcPr>
            <w:tcW w:type="dxa" w:w="2232"/>
            <w:vAlign w:val="center"/>
          </w:tcPr>
          <w:p>
            <w:r>
              <w:rPr>
                <w:sz w:val="17"/>
              </w:rPr>
              <w:t>Week 5</w:t>
            </w:r>
          </w:p>
        </w:tc>
        <w:tc>
          <w:tcPr>
            <w:tcW w:type="dxa" w:w="2376"/>
            <w:vAlign w:val="center"/>
          </w:tcPr>
          <w:p>
            <w:r>
              <w:rPr>
                <w:sz w:val="17"/>
              </w:rPr>
              <w:t>Rushabh / [Student ID]</w:t>
            </w:r>
          </w:p>
        </w:tc>
        <w:tc>
          <w:tcPr>
            <w:tcW w:type="dxa" w:w="4608"/>
            <w:vAlign w:val="center"/>
          </w:tcPr>
          <w:p>
            <w:r>
              <w:rPr>
                <w:sz w:val="17"/>
              </w:rPr>
              <w:t>Repository workflow and common industry tools</w:t>
            </w:r>
          </w:p>
        </w:tc>
      </w:tr>
    </w:tbl>
    <w:p/>
    <w:p>
      <w:pPr>
        <w:pStyle w:val="Heading1"/>
      </w:pPr>
      <w:r>
        <w:t>Work completed</w:t>
      </w:r>
    </w:p>
    <w:p>
      <w:pPr>
        <w:pStyle w:val="ListBullet"/>
        <w:spacing w:after="40"/>
      </w:pPr>
      <w:r>
        <w:t>Explored Bitbucket repository navigation and source history.</w:t>
      </w:r>
    </w:p>
    <w:p>
      <w:pPr>
        <w:pStyle w:val="ListBullet"/>
        <w:spacing w:after="40"/>
      </w:pPr>
      <w:r>
        <w:t>Reviewed core Git commands used with Bitbucket.</w:t>
      </w:r>
    </w:p>
    <w:p>
      <w:pPr>
        <w:pStyle w:val="ListBullet"/>
        <w:spacing w:after="40"/>
      </w:pPr>
      <w:r>
        <w:t>Compared tools used across data, reporting, development and collaboration workflows.</w:t>
      </w:r>
    </w:p>
    <w:p>
      <w:pPr>
        <w:pStyle w:val="ListBullet"/>
        <w:spacing w:after="40"/>
      </w:pPr>
      <w:r>
        <w:t>Prepared a compact reference explaining where each tool fits.</w:t>
      </w:r>
    </w:p>
    <w:p>
      <w:pPr>
        <w:pStyle w:val="Heading1"/>
      </w:pPr>
      <w:r>
        <w:t>Learning reflection</w:t>
      </w:r>
    </w:p>
    <w:p>
      <w:r>
        <w:t>The main learning was that Git concepts remain the same regardless of whether the remote platform is GitHub or Bitbucket. The platform changes the interface and integrations, but local commits, branches, pull/push operations and merge workflows still rely on Git.</w:t>
      </w:r>
    </w:p>
    <w:tbl>
      <w:tblPr>
        <w:tblW w:type="auto" w:w="0"/>
        <w:jc w:val="left"/>
        <w:tblLook w:firstColumn="1" w:firstRow="1" w:lastColumn="0" w:lastRow="0" w:noHBand="0" w:noVBand="1" w:val="04A0"/>
      </w:tblPr>
      <w:tblGrid>
        <w:gridCol w:w="10224"/>
      </w:tblGrid>
      <w:tr>
        <w:tc>
          <w:tcPr>
            <w:tcW w:type="dxa" w:w="10224"/>
            <w:shd w:fill="EAF0F6"/>
          </w:tcPr>
          <w:p>
            <w:r>
              <w:rPr>
                <w:b/>
                <w:color w:val="375A7F"/>
              </w:rPr>
              <w:t>Key takeaway</w:t>
              <w:br/>
            </w:r>
            <w:r>
              <w:t>Git is the version-control system; GitHub and Bitbucket are services that host Git repositories and collaboration workflows.</w:t>
            </w:r>
          </w:p>
        </w:tc>
      </w:tr>
    </w:tbl>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Rushabh  |  [Student ID]  |  Week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WEEKLY EVIDENCE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75A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75A7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