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eastAsia="Times New Roman"/>
          <w:sz w:val="44"/>
        </w:rPr>
        <w:t>PolyVote: Database-Enforced Integrity and a Keyed Audit Ledger for Small Ranked-Choice Elections</w:t>
      </w:r>
    </w:p>
    <w:p>
      <w:pPr>
        <w:spacing w:before="0" w:after="0" w:line="240" w:lineRule="auto"/>
        <w:jc w:val="center"/>
      </w:pPr>
      <w:r>
        <w:rPr>
          <w:rFonts w:ascii="Times New Roman" w:hAnsi="Times New Roman" w:eastAsia="Times New Roman"/>
          <w:sz w:val="22"/>
        </w:rPr>
        <w:t>Tharakesharasu Thennarasu, M Pavan Durga Karthik and Shivam Malge</w:t>
      </w:r>
    </w:p>
    <w:p>
      <w:pPr>
        <w:spacing w:before="0" w:after="0" w:line="240" w:lineRule="auto"/>
        <w:jc w:val="center"/>
      </w:pPr>
      <w:r>
        <w:rPr>
          <w:rFonts w:ascii="Times New Roman" w:hAnsi="Times New Roman" w:eastAsia="Times New Roman"/>
          <w:i/>
          <w:sz w:val="20"/>
        </w:rPr>
        <w:t>School of Computer Science and Engineering, Course BACSE202 Database Systems</w:t>
      </w:r>
    </w:p>
    <w:p>
      <w:pPr>
        <w:spacing w:before="0" w:after="160" w:line="240" w:lineRule="auto"/>
        <w:jc w:val="center"/>
      </w:pPr>
      <w:r>
        <w:rPr>
          <w:rFonts w:ascii="Times New Roman" w:hAnsi="Times New Roman" w:eastAsia="Times New Roman"/>
          <w:i/>
          <w:sz w:val="20"/>
        </w:rPr>
        <w:t>Faculty guide: Dr. Katari Balakrishna</w:t>
      </w:r>
    </w:p>
    <w:p>
      <w:pPr>
        <w:spacing w:before="0" w:after="80" w:line="240" w:lineRule="auto"/>
        <w:jc w:val="both"/>
      </w:pPr>
      <w:r>
        <w:rPr>
          <w:rFonts w:ascii="Times New Roman" w:hAnsi="Times New Roman" w:eastAsia="Times New Roman"/>
          <w:b/>
          <w:i w:val="0"/>
          <w:sz w:val="18"/>
        </w:rPr>
        <w:t>Abstract</w:t>
      </w:r>
      <w:r>
        <w:rPr>
          <w:rFonts w:ascii="Times New Roman" w:hAnsi="Times New Roman" w:eastAsia="Times New Roman"/>
          <w:i w:val="0"/>
          <w:sz w:val="18"/>
        </w:rPr>
        <w:t>—Small elections are usually run on a general-purpose database that an administrator can edit without leaving a trace. Cryptographic end-to-end verifiable systems [1, 2] address this but carry operational burdens that campus and club elections rarely accept. We present PolyVote, a multi-tenant ranked-choice (instant-runoff) election platform that raises the cost of undetected tampering using database features alone. Constraints and a trigger enforce one vote per voter; voters and anonymous ballots are stored without a linking column; each ballot is sealed in an HMAC-keyed, hash-chained ledger kept in MongoDB Atlas; and an integrity sweep reconciles ballots, receipts, voter flags and the sealed candidate roster. A standalone email one-time-code module adds a second authentication factor. We evaluate the system with an executable suite of 47 scenarios. Against the earlier design, rogue-administrator scenarios detected automatically rise from 6 to 12 of 13, including forged receipts and consistent chain rewrites that a plain hash chain cannot stop; sweep time rises by about 14% at 10,000 ballots. One scenario, roster injection, remains undetected, and we state the limits of a design that is not end-to-end verifiable.</w:t>
      </w:r>
    </w:p>
    <w:p>
      <w:pPr>
        <w:spacing w:before="0" w:after="120" w:line="240" w:lineRule="auto"/>
        <w:jc w:val="both"/>
      </w:pPr>
      <w:r>
        <w:rPr>
          <w:rFonts w:ascii="Times New Roman" w:hAnsi="Times New Roman" w:eastAsia="Times New Roman"/>
          <w:b/>
          <w:sz w:val="18"/>
        </w:rPr>
        <w:t>Index Terms</w:t>
      </w:r>
      <w:r>
        <w:rPr>
          <w:rFonts w:ascii="Times New Roman" w:hAnsi="Times New Roman" w:eastAsia="Times New Roman"/>
          <w:sz w:val="18"/>
        </w:rPr>
        <w:t>—electronic voting, instant-runoff voting, tamper-evident logging, HMAC, database integrity, polyglot persistence, one-time password.</w:t>
      </w:r>
    </w:p>
    <w:p>
      <w:pPr>
        <w:sectPr>
          <w:pgSz w:w="12240" w:h="15840"/>
          <w:pgMar w:top="1080" w:right="900" w:bottom="1440" w:left="900" w:header="720" w:footer="720" w:gutter="0"/>
          <w:cols w:space="720"/>
          <w:docGrid w:linePitch="360"/>
        </w:sectPr>
      </w:pPr>
    </w:p>
    <w:p>
      <w:pPr>
        <w:keepNext/>
        <w:spacing w:before="160" w:after="80" w:line="240" w:lineRule="auto"/>
        <w:jc w:val="center"/>
      </w:pPr>
      <w:r>
        <w:rPr>
          <w:rFonts w:ascii="Times New Roman" w:hAnsi="Times New Roman" w:eastAsia="Times New Roman"/>
          <w:smallCaps w:val="0"/>
          <w:sz w:val="20"/>
        </w:rPr>
        <w:t>I. INTRODUCTION</w:t>
      </w:r>
    </w:p>
    <w:p>
      <w:pPr>
        <w:spacing w:before="0" w:after="80" w:line="240" w:lineRule="auto"/>
        <w:ind w:firstLine="245"/>
        <w:jc w:val="both"/>
      </w:pPr>
      <w:r>
        <w:rPr>
          <w:rFonts w:ascii="Times New Roman" w:hAnsi="Times New Roman" w:eastAsia="Times New Roman"/>
          <w:sz w:val="20"/>
        </w:rPr>
        <w:t>Student councils, clubs and societies run elections on spreadsheets, survey forms or small web applications backed by one database. Whoever administers that database can change the outcome, and nothing in the system can show that a result was altered. Research on electronic voting has focused on cryptographic protocols that avoid trusting the server [1, 2, 3, 4, 5] and on the failures of deployed internet voting [6, 7, 8, 9]. Between the two lies a large population of small elections for which verifiable cryptographic voting is impractical, yet where much more can be done by using the database properly.</w:t>
      </w:r>
    </w:p>
    <w:p>
      <w:pPr>
        <w:spacing w:before="0" w:after="80" w:line="240" w:lineRule="auto"/>
        <w:ind w:firstLine="245"/>
        <w:jc w:val="both"/>
      </w:pPr>
      <w:r>
        <w:rPr>
          <w:rFonts w:ascii="Times New Roman" w:hAnsi="Times New Roman" w:eastAsia="Times New Roman"/>
          <w:sz w:val="20"/>
        </w:rPr>
        <w:t>PolyVote treats the database as the place where election rules are enforced and adds an independent append-only audit trail that can be checked against it. Its contributions are: (1) a database-centric design that enforces one-vote and ballot-validity rules in the engine and separates voters from ballots; (2) an HMAC-keyed hash-chained ledger in a document store with a sealed candidate roster; (3) an extended integrity sweep; (4) a standalone email one-time-code module; and (5) a reproducible evaluation of 47 scenarios against both the earlier design and the final one, with an explicit statement of what is not claimed.</w:t>
      </w:r>
    </w:p>
    <w:p>
      <w:pPr>
        <w:keepNext/>
        <w:spacing w:before="160" w:after="80" w:line="240" w:lineRule="auto"/>
        <w:jc w:val="center"/>
      </w:pPr>
      <w:r>
        <w:rPr>
          <w:rFonts w:ascii="Times New Roman" w:hAnsi="Times New Roman" w:eastAsia="Times New Roman"/>
          <w:smallCaps w:val="0"/>
          <w:sz w:val="20"/>
        </w:rPr>
        <w:t>II. RELATED WORK</w:t>
      </w:r>
    </w:p>
    <w:p>
      <w:pPr>
        <w:spacing w:before="0" w:after="80" w:line="240" w:lineRule="auto"/>
        <w:ind w:firstLine="245"/>
        <w:jc w:val="both"/>
      </w:pPr>
      <w:r>
        <w:rPr>
          <w:rFonts w:ascii="Times New Roman" w:hAnsi="Times New Roman" w:eastAsia="Times New Roman"/>
          <w:sz w:val="20"/>
        </w:rPr>
        <w:t>Helios [1] and Belenios [2] provide verifiable tallies using encrypted ballots; Civitas [3] adds coercion resistance; Prêt à Voter [4] and Scantegrity II [5] target paper-based verification. Analyses of deployed systems found significant weaknesses in Estonian internet voting [6] and in mobile and web products [7, 8], and a National Academies study concluded internet voting could not currently be secured [9]. Blockchain voting compounds these problems [10].</w:t>
      </w:r>
    </w:p>
    <w:p>
      <w:pPr>
        <w:spacing w:before="0" w:after="80" w:line="240" w:lineRule="auto"/>
        <w:ind w:firstLine="245"/>
        <w:jc w:val="both"/>
      </w:pPr>
      <w:r>
        <w:rPr>
          <w:rFonts w:ascii="Times New Roman" w:hAnsi="Times New Roman" w:eastAsia="Times New Roman"/>
          <w:sz w:val="20"/>
        </w:rPr>
        <w:t>Hash chaining for time-stamping [11] and secure audit logs [12] underlie tamper-evident logging [13, 14]; database work covers tamper detection in audit logs [15], forensic analysis of tampering [16] and ledger tables in a commercial engine [17]. Instant-runoff outcomes can hinge on few ballots, motivating margin computation and risk-limiting audits [18, 19]. Multi-tenant schema mapping [20], polyglot persistence [21] and database security [22] complete the background. For authentication, NIST SP 800-63B separates memorised secrets from possession factors [23]; email [24] and mobile channels [25] are convenient but only as strong as the mailbox or device.</w:t>
      </w:r>
    </w:p>
    <w:p>
      <w:pPr>
        <w:keepNext/>
        <w:spacing w:before="160" w:after="80" w:line="240" w:lineRule="auto"/>
        <w:jc w:val="center"/>
      </w:pPr>
      <w:r>
        <w:rPr>
          <w:rFonts w:ascii="Times New Roman" w:hAnsi="Times New Roman" w:eastAsia="Times New Roman"/>
          <w:smallCaps w:val="0"/>
          <w:sz w:val="20"/>
        </w:rPr>
        <w:t>III. THREAT MODEL</w:t>
      </w:r>
    </w:p>
    <w:p>
      <w:pPr>
        <w:spacing w:before="0" w:after="80" w:line="240" w:lineRule="auto"/>
        <w:ind w:firstLine="245"/>
        <w:jc w:val="both"/>
      </w:pPr>
      <w:r>
        <w:rPr>
          <w:rFonts w:ascii="Times New Roman" w:hAnsi="Times New Roman" w:eastAsia="Times New Roman"/>
          <w:sz w:val="20"/>
        </w:rPr>
        <w:t>We consider seven adversaries: a voter with a leaked password (A1); a network observer (A2, out of scope beyond TLS); a rogue administrator of the election database (A3); an administrator of the ledger store (A4); an insider with both stores but no secrets (A5); an insider who also holds the key (A6); and roster injection through the administrative path (A7). Goals are: no double vote; only rostered, verified voters vote; ballots anonymous in storage; malformed ballots rejected; modification, deletion or insertion detectable; the ledger not silently rewritable without the key; candidate attribution fixed after voting; and voters able to confirm their ballot is recorded. A6 and A7 are not covered.</w:t>
      </w:r>
    </w:p>
    <w:p>
      <w:pPr>
        <w:keepNext/>
        <w:spacing w:before="80" w:after="40"/>
        <w:jc w:val="center"/>
      </w:pPr>
      <w:r>
        <w:drawing>
          <wp:inline xmlns:a="http://schemas.openxmlformats.org/drawingml/2006/main" xmlns:pic="http://schemas.openxmlformats.org/drawingml/2006/picture">
            <wp:extent cx="3154680" cy="1884045"/>
            <wp:docPr id="1" name="Picture 1"/>
            <wp:cNvGraphicFramePr>
              <a:graphicFrameLocks noChangeAspect="1"/>
            </wp:cNvGraphicFramePr>
            <a:graphic>
              <a:graphicData uri="http://schemas.openxmlformats.org/drawingml/2006/picture">
                <pic:pic>
                  <pic:nvPicPr>
                    <pic:cNvPr id="0" name="threat_model.png"/>
                    <pic:cNvPicPr/>
                  </pic:nvPicPr>
                  <pic:blipFill>
                    <a:blip r:embed="rId9"/>
                    <a:stretch>
                      <a:fillRect/>
                    </a:stretch>
                  </pic:blipFill>
                  <pic:spPr>
                    <a:xfrm>
                      <a:off x="0" y="0"/>
                      <a:ext cx="3154680" cy="1884045"/>
                    </a:xfrm>
                    <a:prstGeom prst="rect"/>
                  </pic:spPr>
                </pic:pic>
              </a:graphicData>
            </a:graphic>
          </wp:inline>
        </w:drawing>
      </w:r>
    </w:p>
    <w:p>
      <w:pPr>
        <w:spacing w:before="0" w:after="120" w:line="240" w:lineRule="auto"/>
        <w:jc w:val="center"/>
      </w:pPr>
      <w:r>
        <w:rPr>
          <w:rFonts w:ascii="Times New Roman" w:hAnsi="Times New Roman" w:eastAsia="Times New Roman"/>
          <w:sz w:val="16"/>
        </w:rPr>
        <w:t>Fig. 1. Threat model: adversaries, capabilities and how each is treated.</w:t>
      </w:r>
    </w:p>
    <w:p>
      <w:pPr>
        <w:keepNext/>
        <w:spacing w:before="80" w:after="40" w:line="240" w:lineRule="auto"/>
        <w:jc w:val="left"/>
      </w:pPr>
      <w:r>
        <w:rPr>
          <w:rFonts w:ascii="Times New Roman" w:hAnsi="Times New Roman" w:eastAsia="Times New Roman"/>
          <w:i/>
          <w:sz w:val="20"/>
        </w:rPr>
        <w:t>Assumptions</w:t>
      </w:r>
    </w:p>
    <w:p>
      <w:pPr>
        <w:spacing w:before="0" w:after="80" w:line="240" w:lineRule="auto"/>
        <w:ind w:firstLine="245"/>
        <w:jc w:val="both"/>
      </w:pPr>
      <w:r>
        <w:rPr>
          <w:rFonts w:ascii="Times New Roman" w:hAnsi="Times New Roman" w:eastAsia="Times New Roman"/>
          <w:sz w:val="20"/>
        </w:rPr>
        <w:t>The application host and its environment secrets (database connection string, ledger key, SMTP credentials) are not controlled by the adversary except in A6. A voter controls their mailbox. The election officer registers the roster honestly. Coercion, vote selling, denial of service and compromise of the voter's own device are out of scope.</w:t>
      </w:r>
    </w:p>
    <w:p>
      <w:pPr>
        <w:keepNext/>
        <w:spacing w:before="160" w:after="80" w:line="240" w:lineRule="auto"/>
        <w:jc w:val="center"/>
      </w:pPr>
      <w:r>
        <w:rPr>
          <w:rFonts w:ascii="Times New Roman" w:hAnsi="Times New Roman" w:eastAsia="Times New Roman"/>
          <w:smallCaps w:val="0"/>
          <w:sz w:val="20"/>
        </w:rPr>
        <w:t>IV. DESIGN</w:t>
      </w:r>
    </w:p>
    <w:p>
      <w:pPr>
        <w:spacing w:before="0" w:after="80" w:line="240" w:lineRule="auto"/>
        <w:ind w:firstLine="245"/>
        <w:jc w:val="both"/>
      </w:pPr>
      <w:r>
        <w:rPr>
          <w:rFonts w:ascii="Times New Roman" w:hAnsi="Times New Roman" w:eastAsia="Times New Roman"/>
          <w:sz w:val="20"/>
        </w:rPr>
        <w:t>PolyVote is one FastAPI service with a React front end. It uses three stores separated by what each is trusted with: a relational election database, a separate verification database for emails and one-time codes, and a MongoDB Atlas ledger, with application secrets held outside all of them (Fig. 2). An administrator of one store cannot touch the others, and only the application host sees all three, which is why host compromise is outside the model.</w:t>
      </w:r>
    </w:p>
    <w:p>
      <w:pPr>
        <w:keepNext/>
        <w:spacing w:before="80" w:after="40"/>
        <w:jc w:val="center"/>
      </w:pPr>
      <w:r>
        <w:drawing>
          <wp:inline xmlns:a="http://schemas.openxmlformats.org/drawingml/2006/main" xmlns:pic="http://schemas.openxmlformats.org/drawingml/2006/picture">
            <wp:extent cx="3154680" cy="236601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3154680" cy="2366010"/>
                    </a:xfrm>
                    <a:prstGeom prst="rect"/>
                  </pic:spPr>
                </pic:pic>
              </a:graphicData>
            </a:graphic>
          </wp:inline>
        </w:drawing>
      </w:r>
    </w:p>
    <w:p>
      <w:pPr>
        <w:spacing w:before="0" w:after="120" w:line="240" w:lineRule="auto"/>
        <w:jc w:val="center"/>
      </w:pPr>
      <w:r>
        <w:rPr>
          <w:rFonts w:ascii="Times New Roman" w:hAnsi="Times New Roman" w:eastAsia="Times New Roman"/>
          <w:sz w:val="16"/>
        </w:rPr>
        <w:t>Fig. 2. Architecture: election database, separate verification database and MongoDB ledger, with secrets outside all stores.</w:t>
      </w:r>
    </w:p>
    <w:p>
      <w:pPr>
        <w:keepNext/>
        <w:spacing w:before="80" w:after="40" w:line="240" w:lineRule="auto"/>
        <w:jc w:val="left"/>
      </w:pPr>
      <w:r>
        <w:rPr>
          <w:rFonts w:ascii="Times New Roman" w:hAnsi="Times New Roman" w:eastAsia="Times New Roman"/>
          <w:i/>
          <w:sz w:val="20"/>
        </w:rPr>
        <w:t>A. Data model and rules</w:t>
      </w:r>
    </w:p>
    <w:p>
      <w:pPr>
        <w:spacing w:before="0" w:after="80" w:line="240" w:lineRule="auto"/>
        <w:ind w:firstLine="245"/>
        <w:jc w:val="both"/>
      </w:pPr>
      <w:r>
        <w:rPr>
          <w:rFonts w:ascii="Times New Roman" w:hAnsi="Times New Roman" w:eastAsia="Times New Roman"/>
          <w:sz w:val="20"/>
        </w:rPr>
        <w:t xml:space="preserve">One shared schema serves many organisations [20]. Six tables hold organisations, elections, candidates, the roster and ranked ballot rows. The engine enforces: a trigger that aborts a second </w:t>
      </w:r>
      <w:r>
        <w:rPr>
          <w:rFonts w:ascii="Consolas" w:hAnsi="Consolas" w:eastAsia="Consolas"/>
          <w:sz w:val="18"/>
        </w:rPr>
        <w:t>has_voted</w:t>
      </w:r>
      <w:r>
        <w:rPr>
          <w:rFonts w:ascii="Times New Roman" w:hAnsi="Times New Roman" w:eastAsia="Times New Roman"/>
          <w:sz w:val="20"/>
        </w:rPr>
        <w:t xml:space="preserve"> update, CHECK constraints on flags and rank (1–3), a composite key that prevents ranking a candidate twice, per-election uniqueness of registration numbers, and foreign keys [26, 27]. A ballot is stored under a random token; no column links it to a voter, and voter email addresses live in a different database (Fig. 3). An automated check confirms the two ballot and voter tables share no column other than the election identifier.</w:t>
      </w:r>
    </w:p>
    <w:p>
      <w:pPr>
        <w:keepNext/>
        <w:spacing w:before="80" w:after="40"/>
        <w:jc w:val="center"/>
      </w:pPr>
      <w:r>
        <w:drawing>
          <wp:inline xmlns:a="http://schemas.openxmlformats.org/drawingml/2006/main" xmlns:pic="http://schemas.openxmlformats.org/drawingml/2006/picture">
            <wp:extent cx="3154680" cy="2302064"/>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3154680" cy="2302064"/>
                    </a:xfrm>
                    <a:prstGeom prst="rect"/>
                  </pic:spPr>
                </pic:pic>
              </a:graphicData>
            </a:graphic>
          </wp:inline>
        </w:drawing>
      </w:r>
    </w:p>
    <w:p>
      <w:pPr>
        <w:spacing w:before="0" w:after="120" w:line="240" w:lineRule="auto"/>
        <w:jc w:val="center"/>
      </w:pPr>
      <w:r>
        <w:rPr>
          <w:rFonts w:ascii="Times New Roman" w:hAnsi="Times New Roman" w:eastAsia="Times New Roman"/>
          <w:sz w:val="16"/>
        </w:rPr>
        <w:t>Fig. 3. Entity-relationship diagram: election database, verification database and ledger block.</w:t>
      </w:r>
    </w:p>
    <w:p>
      <w:pPr>
        <w:keepNext/>
        <w:spacing w:before="80" w:after="40" w:line="240" w:lineRule="auto"/>
        <w:jc w:val="left"/>
      </w:pPr>
      <w:r>
        <w:rPr>
          <w:rFonts w:ascii="Times New Roman" w:hAnsi="Times New Roman" w:eastAsia="Times New Roman"/>
          <w:i/>
          <w:sz w:val="20"/>
        </w:rPr>
        <w:t>B. Casting a ballot</w:t>
      </w:r>
    </w:p>
    <w:p>
      <w:pPr>
        <w:spacing w:before="0" w:after="80" w:line="240" w:lineRule="auto"/>
        <w:ind w:firstLine="245"/>
        <w:jc w:val="both"/>
      </w:pPr>
      <w:r>
        <w:rPr>
          <w:rFonts w:ascii="Times New Roman" w:hAnsi="Times New Roman" w:eastAsia="Times New Roman"/>
          <w:sz w:val="20"/>
        </w:rPr>
        <w:t>Casting is serialised and transactional. After authentication the server takes a write lock, re-checks the election status, validates the ranking and confirms the voter has not voted. In one transaction it sets the voted flag and inserts the ranked rows under a new random token, then appends a sealed block to the ledger and invalidates the session. The append follows the commit, so a failure between them leaves a ballot with no receipt, which the sweep reports as injected; we chose the variant that fails visibly. Tallying is instant-runoff: first preferences are counted among continuing candidates, a candidate with more than half wins, otherwise the weakest is eliminated and ballots transfer. Ties for last place are broken by candidate order, and the interface flags such rounds.</w:t>
      </w:r>
    </w:p>
    <w:p>
      <w:pPr>
        <w:keepNext/>
        <w:spacing w:before="80" w:after="40" w:line="240" w:lineRule="auto"/>
        <w:jc w:val="left"/>
      </w:pPr>
      <w:r>
        <w:rPr>
          <w:rFonts w:ascii="Times New Roman" w:hAnsi="Times New Roman" w:eastAsia="Times New Roman"/>
          <w:i/>
          <w:sz w:val="20"/>
        </w:rPr>
        <w:t>C. Keyed audit ledger</w:t>
      </w:r>
    </w:p>
    <w:p>
      <w:pPr>
        <w:spacing w:before="0" w:after="80" w:line="240" w:lineRule="auto"/>
        <w:ind w:firstLine="245"/>
        <w:jc w:val="both"/>
      </w:pPr>
      <w:r>
        <w:rPr>
          <w:rFonts w:ascii="Times New Roman" w:hAnsi="Times New Roman" w:eastAsia="Times New Roman"/>
          <w:sz w:val="20"/>
        </w:rPr>
        <w:t>Each ballot yields one block holding its index, election, token, a SHA-256 of the ranked choices, a SHA-256 of the candidate roster, the previous hash and its own hash. The block hash is HMAC-SHA-256 under a secret held outside both stores, so an attacker who can write the ledger but lacks the key cannot rebuild a consistent chain, which a plain hash chain permits. In MongoDB a unique index on the block position prevents two writers from forking the chain; a local file is the fallback.</w:t>
      </w:r>
    </w:p>
    <w:p>
      <w:pPr>
        <w:keepNext/>
        <w:spacing w:before="80" w:after="40" w:line="240" w:lineRule="auto"/>
        <w:jc w:val="left"/>
      </w:pPr>
      <w:r>
        <w:rPr>
          <w:rFonts w:ascii="Times New Roman" w:hAnsi="Times New Roman" w:eastAsia="Times New Roman"/>
          <w:i/>
          <w:sz w:val="20"/>
        </w:rPr>
        <w:t>D. Integrity sweep</w:t>
      </w:r>
    </w:p>
    <w:p>
      <w:pPr>
        <w:spacing w:before="0" w:after="80" w:line="240" w:lineRule="auto"/>
        <w:ind w:firstLine="245"/>
        <w:jc w:val="both"/>
      </w:pPr>
      <w:r>
        <w:rPr>
          <w:rFonts w:ascii="Times New Roman" w:hAnsi="Times New Roman" w:eastAsia="Times New Roman"/>
          <w:sz w:val="20"/>
        </w:rPr>
        <w:t>The sweep applies five rules: modified ballots (recomputed hash differs from the receipt), deleted ballots (receipt without rows), injected ballots (rows without receipt), changed roster (candidate names differ from the sealed hash), and count mismatch among voter flags, distinct ballots and receipts. A separate chain check verifies every link and block hash.</w:t>
      </w:r>
    </w:p>
    <w:p>
      <w:pPr>
        <w:keepNext/>
        <w:spacing w:before="80" w:after="40" w:line="240" w:lineRule="auto"/>
        <w:jc w:val="left"/>
      </w:pPr>
      <w:r>
        <w:rPr>
          <w:rFonts w:ascii="Times New Roman" w:hAnsi="Times New Roman" w:eastAsia="Times New Roman"/>
          <w:i/>
          <w:sz w:val="20"/>
        </w:rPr>
        <w:t>E. Email one-time code</w:t>
      </w:r>
    </w:p>
    <w:p>
      <w:pPr>
        <w:spacing w:before="0" w:after="80" w:line="240" w:lineRule="auto"/>
        <w:ind w:firstLine="245"/>
        <w:jc w:val="both"/>
      </w:pPr>
      <w:r>
        <w:rPr>
          <w:rFonts w:ascii="Times New Roman" w:hAnsi="Times New Roman" w:eastAsia="Times New Roman"/>
          <w:sz w:val="20"/>
        </w:rPr>
        <w:t>After a correct password the server issues a challenge rather than a session. A six-digit code from a cryptographic generator is stored only as an HMAC, emailed from a background thread, valid for five minutes, single use, limited to three guesses, with resends limited to one per 30 s and five per challenge, and at most five challenges per voter per 15 minutes. Failure of mail delivery never blocks sign-in; the administrator outbox shows issued codes (Fig. 4). Voter addresses live in a database separate from ballots, so an email address cannot be joined to a ballot even if the election database is compromised.</w:t>
      </w:r>
    </w:p>
    <w:p>
      <w:pPr>
        <w:keepNext/>
        <w:spacing w:before="80" w:after="40"/>
        <w:jc w:val="center"/>
      </w:pPr>
      <w:r>
        <w:drawing>
          <wp:inline xmlns:a="http://schemas.openxmlformats.org/drawingml/2006/main" xmlns:pic="http://schemas.openxmlformats.org/drawingml/2006/picture">
            <wp:extent cx="3154680" cy="2190750"/>
            <wp:docPr id="4" name="Picture 4"/>
            <wp:cNvGraphicFramePr>
              <a:graphicFrameLocks noChangeAspect="1"/>
            </wp:cNvGraphicFramePr>
            <a:graphic>
              <a:graphicData uri="http://schemas.openxmlformats.org/drawingml/2006/picture">
                <pic:pic>
                  <pic:nvPicPr>
                    <pic:cNvPr id="0" name="otp_sequence.png"/>
                    <pic:cNvPicPr/>
                  </pic:nvPicPr>
                  <pic:blipFill>
                    <a:blip r:embed="rId12"/>
                    <a:stretch>
                      <a:fillRect/>
                    </a:stretch>
                  </pic:blipFill>
                  <pic:spPr>
                    <a:xfrm>
                      <a:off x="0" y="0"/>
                      <a:ext cx="3154680" cy="2190750"/>
                    </a:xfrm>
                    <a:prstGeom prst="rect"/>
                  </pic:spPr>
                </pic:pic>
              </a:graphicData>
            </a:graphic>
          </wp:inline>
        </w:drawing>
      </w:r>
    </w:p>
    <w:p>
      <w:pPr>
        <w:spacing w:before="0" w:after="120" w:line="240" w:lineRule="auto"/>
        <w:jc w:val="center"/>
      </w:pPr>
      <w:r>
        <w:rPr>
          <w:rFonts w:ascii="Times New Roman" w:hAnsi="Times New Roman" w:eastAsia="Times New Roman"/>
          <w:sz w:val="16"/>
        </w:rPr>
        <w:t>Fig. 4. Sign-in with a one-time code.</w:t>
      </w:r>
    </w:p>
    <w:p>
      <w:pPr>
        <w:keepNext/>
        <w:spacing w:before="160" w:after="80" w:line="240" w:lineRule="auto"/>
        <w:jc w:val="center"/>
      </w:pPr>
      <w:r>
        <w:rPr>
          <w:rFonts w:ascii="Times New Roman" w:hAnsi="Times New Roman" w:eastAsia="Times New Roman"/>
          <w:smallCaps w:val="0"/>
          <w:sz w:val="20"/>
        </w:rPr>
        <w:t>V. EVALUATION</w:t>
      </w:r>
    </w:p>
    <w:p>
      <w:pPr>
        <w:spacing w:before="0" w:after="80" w:line="240" w:lineRule="auto"/>
        <w:ind w:firstLine="245"/>
        <w:jc w:val="both"/>
      </w:pPr>
      <w:r>
        <w:rPr>
          <w:rFonts w:ascii="Times New Roman" w:hAnsi="Times New Roman" w:eastAsia="Times New Roman"/>
          <w:sz w:val="20"/>
        </w:rPr>
        <w:t>An executable suite copies the application to a temporary directory, drives the real API, and plays a rogue administrator by editing the database and ledger files directly. Groups are: 7 database-level prevention tests, 13 API abuse tests, 13 tampering scenarios, 14 OTP tests, and benchmarks at 100, 1,000 and 10,000 ballots (median of three runs). The baseline is the earlier design, checked out and run unchanged; attacker scripts never receive the key.</w:t>
      </w:r>
    </w:p>
    <w:p>
      <w:pPr>
        <w:keepNext/>
        <w:spacing w:before="80" w:after="40" w:line="240" w:lineRule="auto"/>
        <w:jc w:val="left"/>
      </w:pPr>
      <w:r>
        <w:rPr>
          <w:rFonts w:ascii="Times New Roman" w:hAnsi="Times New Roman" w:eastAsia="Times New Roman"/>
          <w:i/>
          <w:sz w:val="20"/>
        </w:rPr>
        <w:t>A. Prevention and abuse</w:t>
      </w:r>
    </w:p>
    <w:p>
      <w:pPr>
        <w:spacing w:before="0" w:after="80" w:line="240" w:lineRule="auto"/>
        <w:ind w:firstLine="245"/>
        <w:jc w:val="both"/>
      </w:pPr>
      <w:r>
        <w:rPr>
          <w:rFonts w:ascii="Times New Roman" w:hAnsi="Times New Roman" w:eastAsia="Times New Roman"/>
          <w:sz w:val="20"/>
        </w:rPr>
        <w:t>Six of seven database-level statements are rejected by the engine. The exception is a dangling candidate reference inserted from a console with default settings, because SQLite enforces foreign keys per connection. All 13 API abuse tests are refused, including twenty simultaneous casts by one voter, of which exactly one is stored. All 14 OTP tests pass; test F4 initially failed and exposed a defect in which failed guesses were rolled back with the aborted request, leaving the attempt limit ineffective.</w:t>
      </w:r>
    </w:p>
    <w:p>
      <w:pPr>
        <w:keepNext/>
        <w:spacing w:before="80" w:after="40" w:line="240" w:lineRule="auto"/>
        <w:jc w:val="left"/>
      </w:pPr>
      <w:r>
        <w:rPr>
          <w:rFonts w:ascii="Times New Roman" w:hAnsi="Times New Roman" w:eastAsia="Times New Roman"/>
          <w:i/>
          <w:sz w:val="20"/>
        </w:rPr>
        <w:t>B. Tampering</w:t>
      </w:r>
    </w:p>
    <w:p>
      <w:pPr>
        <w:keepNext/>
        <w:spacing w:before="80" w:after="40" w:line="240" w:lineRule="auto"/>
        <w:jc w:val="center"/>
      </w:pPr>
      <w:r>
        <w:rPr>
          <w:rFonts w:ascii="Times New Roman" w:hAnsi="Times New Roman" w:eastAsia="Times New Roman"/>
          <w:sz w:val="16"/>
        </w:rPr>
        <w:t>TABLE I. Outcome of each tampering scenario.</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432"/>
          </w:tcPr>
          <w:p>
            <w:pPr>
              <w:spacing w:after="0"/>
              <w:jc w:val="left"/>
            </w:pPr>
            <w:r>
              <w:rPr>
                <w:rFonts w:ascii="Times New Roman" w:hAnsi="Times New Roman" w:eastAsia="Times New Roman"/>
                <w:b/>
                <w:sz w:val="14"/>
              </w:rPr>
              <w:t>ID</w:t>
            </w:r>
          </w:p>
        </w:tc>
        <w:tc>
          <w:tcPr>
            <w:tcW w:type="dxa" w:w="2808"/>
          </w:tcPr>
          <w:p>
            <w:pPr>
              <w:spacing w:after="0"/>
              <w:jc w:val="left"/>
            </w:pPr>
            <w:r>
              <w:rPr>
                <w:rFonts w:ascii="Times New Roman" w:hAnsi="Times New Roman" w:eastAsia="Times New Roman"/>
                <w:b/>
                <w:sz w:val="14"/>
              </w:rPr>
              <w:t>Scenario</w:t>
            </w:r>
          </w:p>
        </w:tc>
        <w:tc>
          <w:tcPr>
            <w:tcW w:type="dxa" w:w="720"/>
          </w:tcPr>
          <w:p>
            <w:pPr>
              <w:spacing w:after="0"/>
              <w:jc w:val="left"/>
            </w:pPr>
            <w:r>
              <w:rPr>
                <w:rFonts w:ascii="Times New Roman" w:hAnsi="Times New Roman" w:eastAsia="Times New Roman"/>
                <w:b/>
                <w:sz w:val="14"/>
              </w:rPr>
              <w:t>Earlier</w:t>
            </w:r>
          </w:p>
        </w:tc>
        <w:tc>
          <w:tcPr>
            <w:tcW w:type="dxa" w:w="720"/>
          </w:tcPr>
          <w:p>
            <w:pPr>
              <w:spacing w:after="0"/>
              <w:jc w:val="left"/>
            </w:pPr>
            <w:r>
              <w:rPr>
                <w:rFonts w:ascii="Times New Roman" w:hAnsi="Times New Roman" w:eastAsia="Times New Roman"/>
                <w:b/>
                <w:sz w:val="14"/>
              </w:rPr>
              <w:t>Final</w:t>
            </w:r>
          </w:p>
        </w:tc>
      </w:tr>
      <w:tr>
        <w:tc>
          <w:tcPr>
            <w:tcW w:type="dxa" w:w="432"/>
          </w:tcPr>
          <w:p>
            <w:pPr>
              <w:spacing w:after="0"/>
              <w:jc w:val="left"/>
            </w:pPr>
            <w:r>
              <w:rPr>
                <w:rFonts w:ascii="Times New Roman" w:hAnsi="Times New Roman" w:eastAsia="Times New Roman"/>
                <w:sz w:val="14"/>
              </w:rPr>
              <w:t>C1</w:t>
            </w:r>
          </w:p>
        </w:tc>
        <w:tc>
          <w:tcPr>
            <w:tcW w:type="dxa" w:w="2808"/>
          </w:tcPr>
          <w:p>
            <w:pPr>
              <w:spacing w:after="0"/>
              <w:jc w:val="left"/>
            </w:pPr>
            <w:r>
              <w:rPr>
                <w:rFonts w:ascii="Times New Roman" w:hAnsi="Times New Roman" w:eastAsia="Times New Roman"/>
                <w:sz w:val="14"/>
              </w:rPr>
              <w:t>Swap the 1st and 2nd choice on one ballot</w:t>
            </w:r>
          </w:p>
        </w:tc>
        <w:tc>
          <w:tcPr>
            <w:tcW w:type="dxa" w:w="720"/>
          </w:tcPr>
          <w:p>
            <w:pPr>
              <w:spacing w:after="0"/>
              <w:jc w:val="left"/>
            </w:pPr>
            <w:r>
              <w:rPr>
                <w:rFonts w:ascii="Times New Roman" w:hAnsi="Times New Roman" w:eastAsia="Times New Roman"/>
                <w:sz w:val="14"/>
              </w:rPr>
              <w:t>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C2</w:t>
            </w:r>
          </w:p>
        </w:tc>
        <w:tc>
          <w:tcPr>
            <w:tcW w:type="dxa" w:w="2808"/>
          </w:tcPr>
          <w:p>
            <w:pPr>
              <w:spacing w:after="0"/>
              <w:jc w:val="left"/>
            </w:pPr>
            <w:r>
              <w:rPr>
                <w:rFonts w:ascii="Times New Roman" w:hAnsi="Times New Roman" w:eastAsia="Times New Roman"/>
                <w:sz w:val="14"/>
              </w:rPr>
              <w:t>Replace the first-choice candidate on one ballot</w:t>
            </w:r>
          </w:p>
        </w:tc>
        <w:tc>
          <w:tcPr>
            <w:tcW w:type="dxa" w:w="720"/>
          </w:tcPr>
          <w:p>
            <w:pPr>
              <w:spacing w:after="0"/>
              <w:jc w:val="left"/>
            </w:pPr>
            <w:r>
              <w:rPr>
                <w:rFonts w:ascii="Times New Roman" w:hAnsi="Times New Roman" w:eastAsia="Times New Roman"/>
                <w:sz w:val="14"/>
              </w:rPr>
              <w:t>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C3</w:t>
            </w:r>
          </w:p>
        </w:tc>
        <w:tc>
          <w:tcPr>
            <w:tcW w:type="dxa" w:w="2808"/>
          </w:tcPr>
          <w:p>
            <w:pPr>
              <w:spacing w:after="0"/>
              <w:jc w:val="left"/>
            </w:pPr>
            <w:r>
              <w:rPr>
                <w:rFonts w:ascii="Times New Roman" w:hAnsi="Times New Roman" w:eastAsia="Times New Roman"/>
                <w:sz w:val="14"/>
              </w:rPr>
              <w:t>Delete one ballot</w:t>
            </w:r>
          </w:p>
        </w:tc>
        <w:tc>
          <w:tcPr>
            <w:tcW w:type="dxa" w:w="720"/>
          </w:tcPr>
          <w:p>
            <w:pPr>
              <w:spacing w:after="0"/>
              <w:jc w:val="left"/>
            </w:pPr>
            <w:r>
              <w:rPr>
                <w:rFonts w:ascii="Times New Roman" w:hAnsi="Times New Roman" w:eastAsia="Times New Roman"/>
                <w:sz w:val="14"/>
              </w:rPr>
              <w:t>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C4</w:t>
            </w:r>
          </w:p>
        </w:tc>
        <w:tc>
          <w:tcPr>
            <w:tcW w:type="dxa" w:w="2808"/>
          </w:tcPr>
          <w:p>
            <w:pPr>
              <w:spacing w:after="0"/>
              <w:jc w:val="left"/>
            </w:pPr>
            <w:r>
              <w:rPr>
                <w:rFonts w:ascii="Times New Roman" w:hAnsi="Times New Roman" w:eastAsia="Times New Roman"/>
                <w:sz w:val="14"/>
              </w:rPr>
              <w:t>Delete a ballot and clear a voted flag to hide the gap</w:t>
            </w:r>
          </w:p>
        </w:tc>
        <w:tc>
          <w:tcPr>
            <w:tcW w:type="dxa" w:w="720"/>
          </w:tcPr>
          <w:p>
            <w:pPr>
              <w:spacing w:after="0"/>
              <w:jc w:val="left"/>
            </w:pPr>
            <w:r>
              <w:rPr>
                <w:rFonts w:ascii="Times New Roman" w:hAnsi="Times New Roman" w:eastAsia="Times New Roman"/>
                <w:sz w:val="14"/>
              </w:rPr>
              <w:t>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C5</w:t>
            </w:r>
          </w:p>
        </w:tc>
        <w:tc>
          <w:tcPr>
            <w:tcW w:type="dxa" w:w="2808"/>
          </w:tcPr>
          <w:p>
            <w:pPr>
              <w:spacing w:after="0"/>
              <w:jc w:val="left"/>
            </w:pPr>
            <w:r>
              <w:rPr>
                <w:rFonts w:ascii="Times New Roman" w:hAnsi="Times New Roman" w:eastAsia="Times New Roman"/>
                <w:sz w:val="14"/>
              </w:rPr>
              <w:t>Inject a ballot with no receipt</w:t>
            </w:r>
          </w:p>
        </w:tc>
        <w:tc>
          <w:tcPr>
            <w:tcW w:type="dxa" w:w="720"/>
          </w:tcPr>
          <w:p>
            <w:pPr>
              <w:spacing w:after="0"/>
              <w:jc w:val="left"/>
            </w:pPr>
            <w:r>
              <w:rPr>
                <w:rFonts w:ascii="Times New Roman" w:hAnsi="Times New Roman" w:eastAsia="Times New Roman"/>
                <w:sz w:val="14"/>
              </w:rPr>
              <w:t>Counters only</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C6</w:t>
            </w:r>
          </w:p>
        </w:tc>
        <w:tc>
          <w:tcPr>
            <w:tcW w:type="dxa" w:w="2808"/>
          </w:tcPr>
          <w:p>
            <w:pPr>
              <w:spacing w:after="0"/>
              <w:jc w:val="left"/>
            </w:pPr>
            <w:r>
              <w:rPr>
                <w:rFonts w:ascii="Times New Roman" w:hAnsi="Times New Roman" w:eastAsia="Times New Roman"/>
                <w:sz w:val="14"/>
              </w:rPr>
              <w:t>Ballot stuffing: inject ballot, forge receipt, set a voted flag</w:t>
            </w:r>
          </w:p>
        </w:tc>
        <w:tc>
          <w:tcPr>
            <w:tcW w:type="dxa" w:w="720"/>
          </w:tcPr>
          <w:p>
            <w:pPr>
              <w:spacing w:after="0"/>
              <w:jc w:val="left"/>
            </w:pPr>
            <w:r>
              <w:rPr>
                <w:rFonts w:ascii="Times New Roman" w:hAnsi="Times New Roman" w:eastAsia="Times New Roman"/>
                <w:sz w:val="14"/>
              </w:rPr>
              <w:t>Not 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C7</w:t>
            </w:r>
          </w:p>
        </w:tc>
        <w:tc>
          <w:tcPr>
            <w:tcW w:type="dxa" w:w="2808"/>
          </w:tcPr>
          <w:p>
            <w:pPr>
              <w:spacing w:after="0"/>
              <w:jc w:val="left"/>
            </w:pPr>
            <w:r>
              <w:rPr>
                <w:rFonts w:ascii="Times New Roman" w:hAnsi="Times New Roman" w:eastAsia="Times New Roman"/>
                <w:sz w:val="14"/>
              </w:rPr>
              <w:t>Edit a ledger block without repairing the chain</w:t>
            </w:r>
          </w:p>
        </w:tc>
        <w:tc>
          <w:tcPr>
            <w:tcW w:type="dxa" w:w="720"/>
          </w:tcPr>
          <w:p>
            <w:pPr>
              <w:spacing w:after="0"/>
              <w:jc w:val="left"/>
            </w:pPr>
            <w:r>
              <w:rPr>
                <w:rFonts w:ascii="Times New Roman" w:hAnsi="Times New Roman" w:eastAsia="Times New Roman"/>
                <w:sz w:val="14"/>
              </w:rPr>
              <w:t>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C8</w:t>
            </w:r>
          </w:p>
        </w:tc>
        <w:tc>
          <w:tcPr>
            <w:tcW w:type="dxa" w:w="2808"/>
          </w:tcPr>
          <w:p>
            <w:pPr>
              <w:spacing w:after="0"/>
              <w:jc w:val="left"/>
            </w:pPr>
            <w:r>
              <w:rPr>
                <w:rFonts w:ascii="Times New Roman" w:hAnsi="Times New Roman" w:eastAsia="Times New Roman"/>
                <w:sz w:val="14"/>
              </w:rPr>
              <w:t>Delete a block from the middle of the ledger</w:t>
            </w:r>
          </w:p>
        </w:tc>
        <w:tc>
          <w:tcPr>
            <w:tcW w:type="dxa" w:w="720"/>
          </w:tcPr>
          <w:p>
            <w:pPr>
              <w:spacing w:after="0"/>
              <w:jc w:val="left"/>
            </w:pPr>
            <w:r>
              <w:rPr>
                <w:rFonts w:ascii="Times New Roman" w:hAnsi="Times New Roman" w:eastAsia="Times New Roman"/>
                <w:sz w:val="14"/>
              </w:rPr>
              <w:t>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C9</w:t>
            </w:r>
          </w:p>
        </w:tc>
        <w:tc>
          <w:tcPr>
            <w:tcW w:type="dxa" w:w="2808"/>
          </w:tcPr>
          <w:p>
            <w:pPr>
              <w:spacing w:after="0"/>
              <w:jc w:val="left"/>
            </w:pPr>
            <w:r>
              <w:rPr>
                <w:rFonts w:ascii="Times New Roman" w:hAnsi="Times New Roman" w:eastAsia="Times New Roman"/>
                <w:sz w:val="14"/>
              </w:rPr>
              <w:t>Truncate the last block of the ledger</w:t>
            </w:r>
          </w:p>
        </w:tc>
        <w:tc>
          <w:tcPr>
            <w:tcW w:type="dxa" w:w="720"/>
          </w:tcPr>
          <w:p>
            <w:pPr>
              <w:spacing w:after="0"/>
              <w:jc w:val="left"/>
            </w:pPr>
            <w:r>
              <w:rPr>
                <w:rFonts w:ascii="Times New Roman" w:hAnsi="Times New Roman" w:eastAsia="Times New Roman"/>
                <w:sz w:val="14"/>
              </w:rPr>
              <w:t>Counters only</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C10</w:t>
            </w:r>
          </w:p>
        </w:tc>
        <w:tc>
          <w:tcPr>
            <w:tcW w:type="dxa" w:w="2808"/>
          </w:tcPr>
          <w:p>
            <w:pPr>
              <w:spacing w:after="0"/>
              <w:jc w:val="left"/>
            </w:pPr>
            <w:r>
              <w:rPr>
                <w:rFonts w:ascii="Times New Roman" w:hAnsi="Times New Roman" w:eastAsia="Times New Roman"/>
                <w:sz w:val="14"/>
              </w:rPr>
              <w:t>Change a ballot and rebuild the whole chain consistently (attacker has no secret key)</w:t>
            </w:r>
          </w:p>
        </w:tc>
        <w:tc>
          <w:tcPr>
            <w:tcW w:type="dxa" w:w="720"/>
          </w:tcPr>
          <w:p>
            <w:pPr>
              <w:spacing w:after="0"/>
              <w:jc w:val="left"/>
            </w:pPr>
            <w:r>
              <w:rPr>
                <w:rFonts w:ascii="Times New Roman" w:hAnsi="Times New Roman" w:eastAsia="Times New Roman"/>
                <w:sz w:val="14"/>
              </w:rPr>
              <w:t>Not 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C11</w:t>
            </w:r>
          </w:p>
        </w:tc>
        <w:tc>
          <w:tcPr>
            <w:tcW w:type="dxa" w:w="2808"/>
          </w:tcPr>
          <w:p>
            <w:pPr>
              <w:spacing w:after="0"/>
              <w:jc w:val="left"/>
            </w:pPr>
            <w:r>
              <w:rPr>
                <w:rFonts w:ascii="Times New Roman" w:hAnsi="Times New Roman" w:eastAsia="Times New Roman"/>
                <w:sz w:val="14"/>
              </w:rPr>
              <w:t>Swap two candidates’ names after voting</w:t>
            </w:r>
          </w:p>
        </w:tc>
        <w:tc>
          <w:tcPr>
            <w:tcW w:type="dxa" w:w="720"/>
          </w:tcPr>
          <w:p>
            <w:pPr>
              <w:spacing w:after="0"/>
              <w:jc w:val="left"/>
            </w:pPr>
            <w:r>
              <w:rPr>
                <w:rFonts w:ascii="Times New Roman" w:hAnsi="Times New Roman" w:eastAsia="Times New Roman"/>
                <w:sz w:val="14"/>
              </w:rPr>
              <w:t>Not detected</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C12</w:t>
            </w:r>
          </w:p>
        </w:tc>
        <w:tc>
          <w:tcPr>
            <w:tcW w:type="dxa" w:w="2808"/>
          </w:tcPr>
          <w:p>
            <w:pPr>
              <w:spacing w:after="0"/>
              <w:jc w:val="left"/>
            </w:pPr>
            <w:r>
              <w:rPr>
                <w:rFonts w:ascii="Times New Roman" w:hAnsi="Times New Roman" w:eastAsia="Times New Roman"/>
                <w:sz w:val="14"/>
              </w:rPr>
              <w:t>Reset a voted flag, then let that voter cast a second ballot</w:t>
            </w:r>
          </w:p>
        </w:tc>
        <w:tc>
          <w:tcPr>
            <w:tcW w:type="dxa" w:w="720"/>
          </w:tcPr>
          <w:p>
            <w:pPr>
              <w:spacing w:after="0"/>
              <w:jc w:val="left"/>
            </w:pPr>
            <w:r>
              <w:rPr>
                <w:rFonts w:ascii="Times New Roman" w:hAnsi="Times New Roman" w:eastAsia="Times New Roman"/>
                <w:sz w:val="14"/>
              </w:rPr>
              <w:t>Counters only</w:t>
            </w:r>
          </w:p>
        </w:tc>
        <w:tc>
          <w:tcPr>
            <w:tcW w:type="dxa" w:w="720"/>
          </w:tcPr>
          <w:p>
            <w:pPr>
              <w:spacing w:after="0"/>
              <w:jc w:val="left"/>
            </w:pPr>
            <w:r>
              <w:rPr>
                <w:rFonts w:ascii="Times New Roman" w:hAnsi="Times New Roman" w:eastAsia="Times New Roman"/>
                <w:sz w:val="14"/>
              </w:rPr>
              <w:t>Detected</w:t>
            </w:r>
          </w:p>
        </w:tc>
      </w:tr>
      <w:tr>
        <w:tc>
          <w:tcPr>
            <w:tcW w:type="dxa" w:w="432"/>
          </w:tcPr>
          <w:p>
            <w:pPr>
              <w:spacing w:after="0"/>
              <w:jc w:val="left"/>
            </w:pPr>
            <w:r>
              <w:rPr>
                <w:rFonts w:ascii="Times New Roman" w:hAnsi="Times New Roman" w:eastAsia="Times New Roman"/>
                <w:sz w:val="14"/>
              </w:rPr>
              <w:t>C13</w:t>
            </w:r>
          </w:p>
        </w:tc>
        <w:tc>
          <w:tcPr>
            <w:tcW w:type="dxa" w:w="2808"/>
          </w:tcPr>
          <w:p>
            <w:pPr>
              <w:spacing w:after="0"/>
              <w:jc w:val="left"/>
            </w:pPr>
            <w:r>
              <w:rPr>
                <w:rFonts w:ascii="Times New Roman" w:hAnsi="Times New Roman" w:eastAsia="Times New Roman"/>
                <w:sz w:val="14"/>
              </w:rPr>
              <w:t>Add a ghost voter to the roster and vote as them through the API</w:t>
            </w:r>
          </w:p>
        </w:tc>
        <w:tc>
          <w:tcPr>
            <w:tcW w:type="dxa" w:w="720"/>
          </w:tcPr>
          <w:p>
            <w:pPr>
              <w:spacing w:after="0"/>
              <w:jc w:val="left"/>
            </w:pPr>
            <w:r>
              <w:rPr>
                <w:rFonts w:ascii="Times New Roman" w:hAnsi="Times New Roman" w:eastAsia="Times New Roman"/>
                <w:sz w:val="14"/>
              </w:rPr>
              <w:t>Not detected</w:t>
            </w:r>
          </w:p>
        </w:tc>
        <w:tc>
          <w:tcPr>
            <w:tcW w:type="dxa" w:w="720"/>
          </w:tcPr>
          <w:p>
            <w:pPr>
              <w:spacing w:after="0"/>
              <w:jc w:val="left"/>
            </w:pPr>
            <w:r>
              <w:rPr>
                <w:rFonts w:ascii="Times New Roman" w:hAnsi="Times New Roman" w:eastAsia="Times New Roman"/>
                <w:sz w:val="14"/>
              </w:rPr>
              <w:t>Not detected</w:t>
            </w:r>
          </w:p>
        </w:tc>
      </w:tr>
    </w:tbl>
    <w:p>
      <w:pPr>
        <w:spacing w:after="40"/>
      </w:pPr>
    </w:p>
    <w:p>
      <w:pPr>
        <w:spacing w:before="0" w:after="80" w:line="240" w:lineRule="auto"/>
        <w:ind w:firstLine="245"/>
        <w:jc w:val="both"/>
      </w:pPr>
      <w:r>
        <w:rPr>
          <w:rFonts w:ascii="Times New Roman" w:hAnsi="Times New Roman" w:eastAsia="Times New Roman"/>
          <w:sz w:val="20"/>
        </w:rPr>
        <w:t>Under the earlier design 6 of 13 scenarios are detected automatically, 3 only through counters an officer would have to compare by eye, and 4 not at all. The final design detects 12 and misses one. Forging a receipt (C6) and rebuilding the whole chain (C10) succeed against a plain chain and fail against the keyed one. Renaming candidates (C11) is caught by the sealed roster. C13, adding a ghost voter and voting as them, is undetected: the ballot is valid, and the system holds no independent record of the roster.</w:t>
      </w:r>
    </w:p>
    <w:p>
      <w:pPr>
        <w:keepNext/>
        <w:spacing w:before="80" w:after="40"/>
        <w:jc w:val="center"/>
      </w:pPr>
      <w:r>
        <w:drawing>
          <wp:inline xmlns:a="http://schemas.openxmlformats.org/drawingml/2006/main" xmlns:pic="http://schemas.openxmlformats.org/drawingml/2006/picture">
            <wp:extent cx="3154680" cy="1139190"/>
            <wp:docPr id="5" name="Picture 5"/>
            <wp:cNvGraphicFramePr>
              <a:graphicFrameLocks noChangeAspect="1"/>
            </wp:cNvGraphicFramePr>
            <a:graphic>
              <a:graphicData uri="http://schemas.openxmlformats.org/drawingml/2006/picture">
                <pic:pic>
                  <pic:nvPicPr>
                    <pic:cNvPr id="0" name="detection.png"/>
                    <pic:cNvPicPr/>
                  </pic:nvPicPr>
                  <pic:blipFill>
                    <a:blip r:embed="rId13"/>
                    <a:stretch>
                      <a:fillRect/>
                    </a:stretch>
                  </pic:blipFill>
                  <pic:spPr>
                    <a:xfrm>
                      <a:off x="0" y="0"/>
                      <a:ext cx="3154680" cy="1139190"/>
                    </a:xfrm>
                    <a:prstGeom prst="rect"/>
                  </pic:spPr>
                </pic:pic>
              </a:graphicData>
            </a:graphic>
          </wp:inline>
        </w:drawing>
      </w:r>
    </w:p>
    <w:p>
      <w:pPr>
        <w:spacing w:before="0" w:after="120" w:line="240" w:lineRule="auto"/>
        <w:jc w:val="center"/>
      </w:pPr>
      <w:r>
        <w:rPr>
          <w:rFonts w:ascii="Times New Roman" w:hAnsi="Times New Roman" w:eastAsia="Times New Roman"/>
          <w:sz w:val="16"/>
        </w:rPr>
        <w:t>Fig. 5. Detection outcome per scenario, earlier design versus final design.</w:t>
      </w:r>
    </w:p>
    <w:p>
      <w:pPr>
        <w:keepNext/>
        <w:spacing w:before="80" w:after="40"/>
        <w:jc w:val="center"/>
      </w:pPr>
      <w:r>
        <w:drawing>
          <wp:inline xmlns:a="http://schemas.openxmlformats.org/drawingml/2006/main" xmlns:pic="http://schemas.openxmlformats.org/drawingml/2006/picture">
            <wp:extent cx="3154680" cy="1410980"/>
            <wp:docPr id="6" name="Picture 6"/>
            <wp:cNvGraphicFramePr>
              <a:graphicFrameLocks noChangeAspect="1"/>
            </wp:cNvGraphicFramePr>
            <a:graphic>
              <a:graphicData uri="http://schemas.openxmlformats.org/drawingml/2006/picture">
                <pic:pic>
                  <pic:nvPicPr>
                    <pic:cNvPr id="0" name="admin_sweep_tamper.png"/>
                    <pic:cNvPicPr/>
                  </pic:nvPicPr>
                  <pic:blipFill>
                    <a:blip r:embed="rId14"/>
                    <a:stretch>
                      <a:fillRect/>
                    </a:stretch>
                  </pic:blipFill>
                  <pic:spPr>
                    <a:xfrm>
                      <a:off x="0" y="0"/>
                      <a:ext cx="3154680" cy="1410980"/>
                    </a:xfrm>
                    <a:prstGeom prst="rect"/>
                  </pic:spPr>
                </pic:pic>
              </a:graphicData>
            </a:graphic>
          </wp:inline>
        </w:drawing>
      </w:r>
    </w:p>
    <w:p>
      <w:pPr>
        <w:spacing w:before="0" w:after="120" w:line="240" w:lineRule="auto"/>
        <w:jc w:val="center"/>
      </w:pPr>
      <w:r>
        <w:rPr>
          <w:rFonts w:ascii="Times New Roman" w:hAnsi="Times New Roman" w:eastAsia="Times New Roman"/>
          <w:sz w:val="16"/>
        </w:rPr>
        <w:t>Fig. 6. Sweep after one ballot was deleted and another injected: both are reported although the three counters still read 46/46/46.</w:t>
      </w:r>
    </w:p>
    <w:p>
      <w:pPr>
        <w:spacing w:before="0" w:after="80" w:line="240" w:lineRule="auto"/>
        <w:ind w:firstLine="245"/>
        <w:jc w:val="both"/>
      </w:pPr>
      <w:r>
        <w:rPr>
          <w:rFonts w:ascii="Times New Roman" w:hAnsi="Times New Roman" w:eastAsia="Times New Roman"/>
          <w:sz w:val="20"/>
        </w:rPr>
        <w:t>Fig. 6 matters because it shows why counters alone are not enough: a deletion and an injection cancel out in the counts, yet the sweep names both ballots.</w:t>
      </w:r>
    </w:p>
    <w:p>
      <w:pPr>
        <w:keepNext/>
        <w:spacing w:before="80" w:after="40" w:line="240" w:lineRule="auto"/>
        <w:jc w:val="left"/>
      </w:pPr>
      <w:r>
        <w:rPr>
          <w:rFonts w:ascii="Times New Roman" w:hAnsi="Times New Roman" w:eastAsia="Times New Roman"/>
          <w:i/>
          <w:sz w:val="20"/>
        </w:rPr>
        <w:t>C. One-time-code tests</w:t>
      </w:r>
    </w:p>
    <w:p>
      <w:pPr>
        <w:spacing w:before="0" w:after="80" w:line="240" w:lineRule="auto"/>
        <w:ind w:firstLine="245"/>
        <w:jc w:val="both"/>
      </w:pPr>
      <w:r>
        <w:rPr>
          <w:rFonts w:ascii="Times New Roman" w:hAnsi="Times New Roman" w:eastAsia="Times New Roman"/>
          <w:sz w:val="20"/>
        </w:rPr>
        <w:t>The 14 OTP tests check that a correct password alone yields no session; that the right code opens the ballot; that a used code cannot be replayed; that three wrong codes lock the challenge; that expired codes, rapid resends and a sixth code are refused; that a voter without an email on file cannot proceed; that plaintext codes are absent from the verification database; that repeated sign-ins are rate-limited; that codes are six digits with leading zeros preserved; that an unreachable mail server does not block sign-in; and that the election database has no email column.</w:t>
      </w:r>
    </w:p>
    <w:p>
      <w:pPr>
        <w:keepNext/>
        <w:spacing w:before="80" w:after="40" w:line="240" w:lineRule="auto"/>
        <w:jc w:val="left"/>
      </w:pPr>
      <w:r>
        <w:rPr>
          <w:rFonts w:ascii="Times New Roman" w:hAnsi="Times New Roman" w:eastAsia="Times New Roman"/>
          <w:i/>
          <w:sz w:val="20"/>
        </w:rPr>
        <w:t>D. Performance</w:t>
      </w:r>
    </w:p>
    <w:p>
      <w:pPr>
        <w:keepNext/>
        <w:spacing w:before="80" w:after="40" w:line="240" w:lineRule="auto"/>
        <w:jc w:val="center"/>
      </w:pPr>
      <w:r>
        <w:rPr>
          <w:rFonts w:ascii="Times New Roman" w:hAnsi="Times New Roman" w:eastAsia="Times New Roman"/>
          <w:sz w:val="16"/>
        </w:rPr>
        <w:t>TABLE II. File-ledger timings, earlier / final design.</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864"/>
          </w:tcPr>
          <w:p>
            <w:pPr>
              <w:spacing w:after="0"/>
              <w:jc w:val="left"/>
            </w:pPr>
            <w:r>
              <w:rPr>
                <w:rFonts w:ascii="Times New Roman" w:hAnsi="Times New Roman" w:eastAsia="Times New Roman"/>
                <w:b/>
                <w:sz w:val="16"/>
              </w:rPr>
              <w:t>Ballots</w:t>
            </w:r>
          </w:p>
        </w:tc>
        <w:tc>
          <w:tcPr>
            <w:tcW w:type="dxa" w:w="1008"/>
          </w:tcPr>
          <w:p>
            <w:pPr>
              <w:spacing w:after="0"/>
              <w:jc w:val="left"/>
            </w:pPr>
            <w:r>
              <w:rPr>
                <w:rFonts w:ascii="Times New Roman" w:hAnsi="Times New Roman" w:eastAsia="Times New Roman"/>
                <w:b/>
                <w:sz w:val="16"/>
              </w:rPr>
              <w:t>Cast ms</w:t>
            </w:r>
          </w:p>
        </w:tc>
        <w:tc>
          <w:tcPr>
            <w:tcW w:type="dxa" w:w="1008"/>
          </w:tcPr>
          <w:p>
            <w:pPr>
              <w:spacing w:after="0"/>
              <w:jc w:val="left"/>
            </w:pPr>
            <w:r>
              <w:rPr>
                <w:rFonts w:ascii="Times New Roman" w:hAnsi="Times New Roman" w:eastAsia="Times New Roman"/>
                <w:b/>
                <w:sz w:val="16"/>
              </w:rPr>
              <w:t>Sweep ms</w:t>
            </w:r>
          </w:p>
        </w:tc>
        <w:tc>
          <w:tcPr>
            <w:tcW w:type="dxa" w:w="1008"/>
          </w:tcPr>
          <w:p>
            <w:pPr>
              <w:spacing w:after="0"/>
              <w:jc w:val="left"/>
            </w:pPr>
            <w:r>
              <w:rPr>
                <w:rFonts w:ascii="Times New Roman" w:hAnsi="Times New Roman" w:eastAsia="Times New Roman"/>
                <w:b/>
                <w:sz w:val="16"/>
              </w:rPr>
              <w:t>Chain ms</w:t>
            </w:r>
          </w:p>
        </w:tc>
        <w:tc>
          <w:tcPr>
            <w:tcW w:type="dxa" w:w="1008"/>
          </w:tcPr>
          <w:p>
            <w:pPr>
              <w:spacing w:after="0"/>
              <w:jc w:val="left"/>
            </w:pPr>
            <w:r>
              <w:rPr>
                <w:rFonts w:ascii="Times New Roman" w:hAnsi="Times New Roman" w:eastAsia="Times New Roman"/>
                <w:b/>
                <w:sz w:val="16"/>
              </w:rPr>
              <w:t>Tally ms</w:t>
            </w:r>
          </w:p>
        </w:tc>
      </w:tr>
      <w:tr>
        <w:tc>
          <w:tcPr>
            <w:tcW w:type="dxa" w:w="864"/>
          </w:tcPr>
          <w:p>
            <w:pPr>
              <w:spacing w:after="0"/>
              <w:jc w:val="left"/>
            </w:pPr>
            <w:r>
              <w:rPr>
                <w:rFonts w:ascii="Times New Roman" w:hAnsi="Times New Roman" w:eastAsia="Times New Roman"/>
                <w:sz w:val="16"/>
              </w:rPr>
              <w:t>100</w:t>
            </w:r>
          </w:p>
        </w:tc>
        <w:tc>
          <w:tcPr>
            <w:tcW w:type="dxa" w:w="1008"/>
          </w:tcPr>
          <w:p>
            <w:pPr>
              <w:spacing w:after="0"/>
              <w:jc w:val="left"/>
            </w:pPr>
            <w:r>
              <w:rPr>
                <w:rFonts w:ascii="Times New Roman" w:hAnsi="Times New Roman" w:eastAsia="Times New Roman"/>
                <w:sz w:val="16"/>
              </w:rPr>
              <w:t>9 / 10</w:t>
            </w:r>
          </w:p>
        </w:tc>
        <w:tc>
          <w:tcPr>
            <w:tcW w:type="dxa" w:w="1008"/>
          </w:tcPr>
          <w:p>
            <w:pPr>
              <w:spacing w:after="0"/>
              <w:jc w:val="left"/>
            </w:pPr>
            <w:r>
              <w:rPr>
                <w:rFonts w:ascii="Times New Roman" w:hAnsi="Times New Roman" w:eastAsia="Times New Roman"/>
                <w:sz w:val="16"/>
              </w:rPr>
              <w:t>2 / 4</w:t>
            </w:r>
          </w:p>
        </w:tc>
        <w:tc>
          <w:tcPr>
            <w:tcW w:type="dxa" w:w="1008"/>
          </w:tcPr>
          <w:p>
            <w:pPr>
              <w:spacing w:after="0"/>
              <w:jc w:val="left"/>
            </w:pPr>
            <w:r>
              <w:rPr>
                <w:rFonts w:ascii="Times New Roman" w:hAnsi="Times New Roman" w:eastAsia="Times New Roman"/>
                <w:sz w:val="16"/>
              </w:rPr>
              <w:t>1 / 2</w:t>
            </w:r>
          </w:p>
        </w:tc>
        <w:tc>
          <w:tcPr>
            <w:tcW w:type="dxa" w:w="1008"/>
          </w:tcPr>
          <w:p>
            <w:pPr>
              <w:spacing w:after="0"/>
              <w:jc w:val="left"/>
            </w:pPr>
            <w:r>
              <w:rPr>
                <w:rFonts w:ascii="Times New Roman" w:hAnsi="Times New Roman" w:eastAsia="Times New Roman"/>
                <w:sz w:val="16"/>
              </w:rPr>
              <w:t>8 / 12</w:t>
            </w:r>
          </w:p>
        </w:tc>
      </w:tr>
      <w:tr>
        <w:tc>
          <w:tcPr>
            <w:tcW w:type="dxa" w:w="864"/>
          </w:tcPr>
          <w:p>
            <w:pPr>
              <w:spacing w:after="0"/>
              <w:jc w:val="left"/>
            </w:pPr>
            <w:r>
              <w:rPr>
                <w:rFonts w:ascii="Times New Roman" w:hAnsi="Times New Roman" w:eastAsia="Times New Roman"/>
                <w:sz w:val="16"/>
              </w:rPr>
              <w:t>1,000</w:t>
            </w:r>
          </w:p>
        </w:tc>
        <w:tc>
          <w:tcPr>
            <w:tcW w:type="dxa" w:w="1008"/>
          </w:tcPr>
          <w:p>
            <w:pPr>
              <w:spacing w:after="0"/>
              <w:jc w:val="left"/>
            </w:pPr>
            <w:r>
              <w:rPr>
                <w:rFonts w:ascii="Times New Roman" w:hAnsi="Times New Roman" w:eastAsia="Times New Roman"/>
                <w:sz w:val="16"/>
              </w:rPr>
              <w:t>33 / 29</w:t>
            </w:r>
          </w:p>
        </w:tc>
        <w:tc>
          <w:tcPr>
            <w:tcW w:type="dxa" w:w="1008"/>
          </w:tcPr>
          <w:p>
            <w:pPr>
              <w:spacing w:after="0"/>
              <w:jc w:val="left"/>
            </w:pPr>
            <w:r>
              <w:rPr>
                <w:rFonts w:ascii="Times New Roman" w:hAnsi="Times New Roman" w:eastAsia="Times New Roman"/>
                <w:sz w:val="16"/>
              </w:rPr>
              <w:t>17 / 12</w:t>
            </w:r>
          </w:p>
        </w:tc>
        <w:tc>
          <w:tcPr>
            <w:tcW w:type="dxa" w:w="1008"/>
          </w:tcPr>
          <w:p>
            <w:pPr>
              <w:spacing w:after="0"/>
              <w:jc w:val="left"/>
            </w:pPr>
            <w:r>
              <w:rPr>
                <w:rFonts w:ascii="Times New Roman" w:hAnsi="Times New Roman" w:eastAsia="Times New Roman"/>
                <w:sz w:val="16"/>
              </w:rPr>
              <w:t>7 / 10</w:t>
            </w:r>
          </w:p>
        </w:tc>
        <w:tc>
          <w:tcPr>
            <w:tcW w:type="dxa" w:w="1008"/>
          </w:tcPr>
          <w:p>
            <w:pPr>
              <w:spacing w:after="0"/>
              <w:jc w:val="left"/>
            </w:pPr>
            <w:r>
              <w:rPr>
                <w:rFonts w:ascii="Times New Roman" w:hAnsi="Times New Roman" w:eastAsia="Times New Roman"/>
                <w:sz w:val="16"/>
              </w:rPr>
              <w:t>11 / 9</w:t>
            </w:r>
          </w:p>
        </w:tc>
      </w:tr>
      <w:tr>
        <w:tc>
          <w:tcPr>
            <w:tcW w:type="dxa" w:w="864"/>
          </w:tcPr>
          <w:p>
            <w:pPr>
              <w:spacing w:after="0"/>
              <w:jc w:val="left"/>
            </w:pPr>
            <w:r>
              <w:rPr>
                <w:rFonts w:ascii="Times New Roman" w:hAnsi="Times New Roman" w:eastAsia="Times New Roman"/>
                <w:sz w:val="16"/>
              </w:rPr>
              <w:t>10,000</w:t>
            </w:r>
          </w:p>
        </w:tc>
        <w:tc>
          <w:tcPr>
            <w:tcW w:type="dxa" w:w="1008"/>
          </w:tcPr>
          <w:p>
            <w:pPr>
              <w:spacing w:after="0"/>
              <w:jc w:val="left"/>
            </w:pPr>
            <w:r>
              <w:rPr>
                <w:rFonts w:ascii="Times New Roman" w:hAnsi="Times New Roman" w:eastAsia="Times New Roman"/>
                <w:sz w:val="16"/>
              </w:rPr>
              <w:t>205 / 207</w:t>
            </w:r>
          </w:p>
        </w:tc>
        <w:tc>
          <w:tcPr>
            <w:tcW w:type="dxa" w:w="1008"/>
          </w:tcPr>
          <w:p>
            <w:pPr>
              <w:spacing w:after="0"/>
              <w:jc w:val="left"/>
            </w:pPr>
            <w:r>
              <w:rPr>
                <w:rFonts w:ascii="Times New Roman" w:hAnsi="Times New Roman" w:eastAsia="Times New Roman"/>
                <w:sz w:val="16"/>
              </w:rPr>
              <w:t>129 / 147</w:t>
            </w:r>
          </w:p>
        </w:tc>
        <w:tc>
          <w:tcPr>
            <w:tcW w:type="dxa" w:w="1008"/>
          </w:tcPr>
          <w:p>
            <w:pPr>
              <w:spacing w:after="0"/>
              <w:jc w:val="left"/>
            </w:pPr>
            <w:r>
              <w:rPr>
                <w:rFonts w:ascii="Times New Roman" w:hAnsi="Times New Roman" w:eastAsia="Times New Roman"/>
                <w:sz w:val="16"/>
              </w:rPr>
              <w:t>80 / 102</w:t>
            </w:r>
          </w:p>
        </w:tc>
        <w:tc>
          <w:tcPr>
            <w:tcW w:type="dxa" w:w="1008"/>
          </w:tcPr>
          <w:p>
            <w:pPr>
              <w:spacing w:after="0"/>
              <w:jc w:val="left"/>
            </w:pPr>
            <w:r>
              <w:rPr>
                <w:rFonts w:ascii="Times New Roman" w:hAnsi="Times New Roman" w:eastAsia="Times New Roman"/>
                <w:sz w:val="16"/>
              </w:rPr>
              <w:t>57 / 60</w:t>
            </w:r>
          </w:p>
        </w:tc>
      </w:tr>
    </w:tbl>
    <w:p>
      <w:pPr>
        <w:spacing w:after="40"/>
      </w:pPr>
    </w:p>
    <w:p>
      <w:pPr>
        <w:spacing w:before="0" w:after="80" w:line="240" w:lineRule="auto"/>
        <w:ind w:firstLine="245"/>
        <w:jc w:val="both"/>
      </w:pPr>
      <w:r>
        <w:rPr>
          <w:rFonts w:ascii="Times New Roman" w:hAnsi="Times New Roman" w:eastAsia="Times New Roman"/>
          <w:sz w:val="20"/>
        </w:rPr>
        <w:t>Read-side operations grow linearly. The keyed chain and extra rules cost about 15% on the sweep at 10,000 ballots. With the file ledger a cast grows from 9 ms to 205 ms, since each append rewrites the file. Against MongoDB Atlas over a mobile hotspot an append costs about 147 ms regardless of chain length; the file is faster at small sizes and the crossover is near ten thousand ballots. Verifying the whole chain over the network grows from 0.2 s at 100 blocks to 3.0 s at 10,000, so a production system should verify incrementally from a trusted checkpoint.</w:t>
      </w:r>
    </w:p>
    <w:p>
      <w:pPr>
        <w:keepNext/>
        <w:spacing w:before="80" w:after="40"/>
        <w:jc w:val="center"/>
      </w:pPr>
      <w:r>
        <w:drawing>
          <wp:inline xmlns:a="http://schemas.openxmlformats.org/drawingml/2006/main" xmlns:pic="http://schemas.openxmlformats.org/drawingml/2006/picture">
            <wp:extent cx="3154680" cy="1226820"/>
            <wp:docPr id="7" name="Picture 7"/>
            <wp:cNvGraphicFramePr>
              <a:graphicFrameLocks noChangeAspect="1"/>
            </wp:cNvGraphicFramePr>
            <a:graphic>
              <a:graphicData uri="http://schemas.openxmlformats.org/drawingml/2006/picture">
                <pic:pic>
                  <pic:nvPicPr>
                    <pic:cNvPr id="0" name="bench.png"/>
                    <pic:cNvPicPr/>
                  </pic:nvPicPr>
                  <pic:blipFill>
                    <a:blip r:embed="rId15"/>
                    <a:stretch>
                      <a:fillRect/>
                    </a:stretch>
                  </pic:blipFill>
                  <pic:spPr>
                    <a:xfrm>
                      <a:off x="0" y="0"/>
                      <a:ext cx="3154680" cy="1226820"/>
                    </a:xfrm>
                    <a:prstGeom prst="rect"/>
                  </pic:spPr>
                </pic:pic>
              </a:graphicData>
            </a:graphic>
          </wp:inline>
        </w:drawing>
      </w:r>
    </w:p>
    <w:p>
      <w:pPr>
        <w:spacing w:before="0" w:after="120" w:line="240" w:lineRule="auto"/>
        <w:jc w:val="center"/>
      </w:pPr>
      <w:r>
        <w:rPr>
          <w:rFonts w:ascii="Times New Roman" w:hAnsi="Times New Roman" w:eastAsia="Times New Roman"/>
          <w:sz w:val="16"/>
        </w:rPr>
        <w:t>Fig. 7. Cast latency and sweep time against ledger size (log scales).</w:t>
      </w:r>
    </w:p>
    <w:p>
      <w:pPr>
        <w:keepNext/>
        <w:spacing w:before="80" w:after="40" w:line="240" w:lineRule="auto"/>
        <w:jc w:val="left"/>
      </w:pPr>
      <w:r>
        <w:rPr>
          <w:rFonts w:ascii="Times New Roman" w:hAnsi="Times New Roman" w:eastAsia="Times New Roman"/>
          <w:i/>
          <w:sz w:val="20"/>
        </w:rPr>
        <w:t>E. Threats to validity</w:t>
      </w:r>
    </w:p>
    <w:p>
      <w:pPr>
        <w:spacing w:before="0" w:after="80" w:line="240" w:lineRule="auto"/>
        <w:ind w:firstLine="245"/>
        <w:jc w:val="both"/>
      </w:pPr>
      <w:r>
        <w:rPr>
          <w:rFonts w:ascii="Times New Roman" w:hAnsi="Times New Roman" w:eastAsia="Times New Roman"/>
          <w:sz w:val="20"/>
        </w:rPr>
        <w:t>The workload is synthetic and timings come from one laptop and one mobile network, so we report trends rather than absolute values. The attack scenarios are the ones we thought of and are expressed against our own design, so they are not a complete catalogue. The baseline is our earlier version; we did not run Helios or Belenios, so Section VI is qualitative. Detection also depends on the officer running the checks.</w:t>
      </w:r>
    </w:p>
    <w:p>
      <w:pPr>
        <w:keepNext/>
        <w:spacing w:before="160" w:after="80" w:line="240" w:lineRule="auto"/>
        <w:jc w:val="center"/>
      </w:pPr>
      <w:r>
        <w:rPr>
          <w:rFonts w:ascii="Times New Roman" w:hAnsi="Times New Roman" w:eastAsia="Times New Roman"/>
          <w:smallCaps w:val="0"/>
          <w:sz w:val="20"/>
        </w:rPr>
        <w:t>VI. COMPARISON</w:t>
      </w:r>
    </w:p>
    <w:p>
      <w:pPr>
        <w:keepNext/>
        <w:spacing w:before="80" w:after="40" w:line="240" w:lineRule="auto"/>
        <w:jc w:val="center"/>
      </w:pPr>
      <w:r>
        <w:rPr>
          <w:rFonts w:ascii="Times New Roman" w:hAnsi="Times New Roman" w:eastAsia="Times New Roman"/>
          <w:sz w:val="16"/>
        </w:rPr>
        <w:t>TABLE III. Qualitative comparison (published designs [1, 2, 3, 4, 5, 6, 7, 8]).</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872"/>
          </w:tcPr>
          <w:p>
            <w:pPr>
              <w:spacing w:after="0"/>
              <w:jc w:val="left"/>
            </w:pPr>
            <w:r>
              <w:rPr>
                <w:rFonts w:ascii="Times New Roman" w:hAnsi="Times New Roman" w:eastAsia="Times New Roman"/>
                <w:b/>
                <w:sz w:val="14"/>
              </w:rPr>
              <w:t>System</w:t>
            </w:r>
          </w:p>
        </w:tc>
        <w:tc>
          <w:tcPr>
            <w:tcW w:type="dxa" w:w="1728"/>
          </w:tcPr>
          <w:p>
            <w:pPr>
              <w:spacing w:after="0"/>
              <w:jc w:val="left"/>
            </w:pPr>
            <w:r>
              <w:rPr>
                <w:rFonts w:ascii="Times New Roman" w:hAnsi="Times New Roman" w:eastAsia="Times New Roman"/>
                <w:b/>
                <w:sz w:val="14"/>
              </w:rPr>
              <w:t>Assurance</w:t>
            </w:r>
          </w:p>
        </w:tc>
        <w:tc>
          <w:tcPr>
            <w:tcW w:type="dxa" w:w="1008"/>
          </w:tcPr>
          <w:p>
            <w:pPr>
              <w:spacing w:after="0"/>
              <w:jc w:val="left"/>
            </w:pPr>
            <w:r>
              <w:rPr>
                <w:rFonts w:ascii="Times New Roman" w:hAnsi="Times New Roman" w:eastAsia="Times New Roman"/>
                <w:b/>
                <w:sz w:val="14"/>
              </w:rPr>
              <w:t>Voter verifies</w:t>
            </w:r>
          </w:p>
        </w:tc>
        <w:tc>
          <w:tcPr>
            <w:tcW w:type="dxa" w:w="720"/>
          </w:tcPr>
          <w:p>
            <w:pPr>
              <w:spacing w:after="0"/>
              <w:jc w:val="left"/>
            </w:pPr>
            <w:r>
              <w:rPr>
                <w:rFonts w:ascii="Times New Roman" w:hAnsi="Times New Roman" w:eastAsia="Times New Roman"/>
                <w:b/>
                <w:sz w:val="14"/>
              </w:rPr>
              <w:t>Burden</w:t>
            </w:r>
          </w:p>
        </w:tc>
      </w:tr>
      <w:tr>
        <w:tc>
          <w:tcPr>
            <w:tcW w:type="dxa" w:w="1872"/>
          </w:tcPr>
          <w:p>
            <w:pPr>
              <w:spacing w:after="0"/>
              <w:jc w:val="left"/>
            </w:pPr>
            <w:r>
              <w:rPr>
                <w:rFonts w:ascii="Times New Roman" w:hAnsi="Times New Roman" w:eastAsia="Times New Roman"/>
                <w:sz w:val="14"/>
              </w:rPr>
              <w:t>Helios, Belenios</w:t>
            </w:r>
          </w:p>
        </w:tc>
        <w:tc>
          <w:tcPr>
            <w:tcW w:type="dxa" w:w="1728"/>
          </w:tcPr>
          <w:p>
            <w:pPr>
              <w:spacing w:after="0"/>
              <w:jc w:val="left"/>
            </w:pPr>
            <w:r>
              <w:rPr>
                <w:rFonts w:ascii="Times New Roman" w:hAnsi="Times New Roman" w:eastAsia="Times New Roman"/>
                <w:sz w:val="14"/>
              </w:rPr>
              <w:t>Encrypted, verifiable tally</w:t>
            </w:r>
          </w:p>
        </w:tc>
        <w:tc>
          <w:tcPr>
            <w:tcW w:type="dxa" w:w="1008"/>
          </w:tcPr>
          <w:p>
            <w:pPr>
              <w:spacing w:after="0"/>
              <w:jc w:val="left"/>
            </w:pPr>
            <w:r>
              <w:rPr>
                <w:rFonts w:ascii="Times New Roman" w:hAnsi="Times New Roman" w:eastAsia="Times New Roman"/>
                <w:sz w:val="14"/>
              </w:rPr>
              <w:t>Yes</w:t>
            </w:r>
          </w:p>
        </w:tc>
        <w:tc>
          <w:tcPr>
            <w:tcW w:type="dxa" w:w="720"/>
          </w:tcPr>
          <w:p>
            <w:pPr>
              <w:spacing w:after="0"/>
              <w:jc w:val="left"/>
            </w:pPr>
            <w:r>
              <w:rPr>
                <w:rFonts w:ascii="Times New Roman" w:hAnsi="Times New Roman" w:eastAsia="Times New Roman"/>
                <w:sz w:val="14"/>
              </w:rPr>
              <w:t>Moderate</w:t>
            </w:r>
          </w:p>
        </w:tc>
      </w:tr>
      <w:tr>
        <w:tc>
          <w:tcPr>
            <w:tcW w:type="dxa" w:w="1872"/>
          </w:tcPr>
          <w:p>
            <w:pPr>
              <w:spacing w:after="0"/>
              <w:jc w:val="left"/>
            </w:pPr>
            <w:r>
              <w:rPr>
                <w:rFonts w:ascii="Times New Roman" w:hAnsi="Times New Roman" w:eastAsia="Times New Roman"/>
                <w:sz w:val="14"/>
              </w:rPr>
              <w:t>Civitas, Prêt à Voter, Scantegrity II</w:t>
            </w:r>
          </w:p>
        </w:tc>
        <w:tc>
          <w:tcPr>
            <w:tcW w:type="dxa" w:w="1728"/>
          </w:tcPr>
          <w:p>
            <w:pPr>
              <w:spacing w:after="0"/>
              <w:jc w:val="left"/>
            </w:pPr>
            <w:r>
              <w:rPr>
                <w:rFonts w:ascii="Times New Roman" w:hAnsi="Times New Roman" w:eastAsia="Times New Roman"/>
                <w:sz w:val="14"/>
              </w:rPr>
              <w:t>Verifiable, some coercion-resistant</w:t>
            </w:r>
          </w:p>
        </w:tc>
        <w:tc>
          <w:tcPr>
            <w:tcW w:type="dxa" w:w="1008"/>
          </w:tcPr>
          <w:p>
            <w:pPr>
              <w:spacing w:after="0"/>
              <w:jc w:val="left"/>
            </w:pPr>
            <w:r>
              <w:rPr>
                <w:rFonts w:ascii="Times New Roman" w:hAnsi="Times New Roman" w:eastAsia="Times New Roman"/>
                <w:sz w:val="14"/>
              </w:rPr>
              <w:t>Yes</w:t>
            </w:r>
          </w:p>
        </w:tc>
        <w:tc>
          <w:tcPr>
            <w:tcW w:type="dxa" w:w="720"/>
          </w:tcPr>
          <w:p>
            <w:pPr>
              <w:spacing w:after="0"/>
              <w:jc w:val="left"/>
            </w:pPr>
            <w:r>
              <w:rPr>
                <w:rFonts w:ascii="Times New Roman" w:hAnsi="Times New Roman" w:eastAsia="Times New Roman"/>
                <w:sz w:val="14"/>
              </w:rPr>
              <w:t>High</w:t>
            </w:r>
          </w:p>
        </w:tc>
      </w:tr>
      <w:tr>
        <w:tc>
          <w:tcPr>
            <w:tcW w:type="dxa" w:w="1872"/>
          </w:tcPr>
          <w:p>
            <w:pPr>
              <w:spacing w:after="0"/>
              <w:jc w:val="left"/>
            </w:pPr>
            <w:r>
              <w:rPr>
                <w:rFonts w:ascii="Times New Roman" w:hAnsi="Times New Roman" w:eastAsia="Times New Roman"/>
                <w:sz w:val="14"/>
              </w:rPr>
              <w:t>Estonian i-voting</w:t>
            </w:r>
          </w:p>
        </w:tc>
        <w:tc>
          <w:tcPr>
            <w:tcW w:type="dxa" w:w="1728"/>
          </w:tcPr>
          <w:p>
            <w:pPr>
              <w:spacing w:after="0"/>
              <w:jc w:val="left"/>
            </w:pPr>
            <w:r>
              <w:rPr>
                <w:rFonts w:ascii="Times New Roman" w:hAnsi="Times New Roman" w:eastAsia="Times New Roman"/>
                <w:sz w:val="14"/>
              </w:rPr>
              <w:t>National crypto system</w:t>
            </w:r>
          </w:p>
        </w:tc>
        <w:tc>
          <w:tcPr>
            <w:tcW w:type="dxa" w:w="1008"/>
          </w:tcPr>
          <w:p>
            <w:pPr>
              <w:spacing w:after="0"/>
              <w:jc w:val="left"/>
            </w:pPr>
            <w:r>
              <w:rPr>
                <w:rFonts w:ascii="Times New Roman" w:hAnsi="Times New Roman" w:eastAsia="Times New Roman"/>
                <w:sz w:val="14"/>
              </w:rPr>
              <w:t>Partial</w:t>
            </w:r>
          </w:p>
        </w:tc>
        <w:tc>
          <w:tcPr>
            <w:tcW w:type="dxa" w:w="720"/>
          </w:tcPr>
          <w:p>
            <w:pPr>
              <w:spacing w:after="0"/>
              <w:jc w:val="left"/>
            </w:pPr>
            <w:r>
              <w:rPr>
                <w:rFonts w:ascii="Times New Roman" w:hAnsi="Times New Roman" w:eastAsia="Times New Roman"/>
                <w:sz w:val="14"/>
              </w:rPr>
              <w:t>High</w:t>
            </w:r>
          </w:p>
        </w:tc>
      </w:tr>
      <w:tr>
        <w:tc>
          <w:tcPr>
            <w:tcW w:type="dxa" w:w="1872"/>
          </w:tcPr>
          <w:p>
            <w:pPr>
              <w:spacing w:after="0"/>
              <w:jc w:val="left"/>
            </w:pPr>
            <w:r>
              <w:rPr>
                <w:rFonts w:ascii="Times New Roman" w:hAnsi="Times New Roman" w:eastAsia="Times New Roman"/>
                <w:sz w:val="14"/>
              </w:rPr>
              <w:t>Commercial mobile/web</w:t>
            </w:r>
          </w:p>
        </w:tc>
        <w:tc>
          <w:tcPr>
            <w:tcW w:type="dxa" w:w="1728"/>
          </w:tcPr>
          <w:p>
            <w:pPr>
              <w:spacing w:after="0"/>
              <w:jc w:val="left"/>
            </w:pPr>
            <w:r>
              <w:rPr>
                <w:rFonts w:ascii="Times New Roman" w:hAnsi="Times New Roman" w:eastAsia="Times New Roman"/>
                <w:sz w:val="14"/>
              </w:rPr>
              <w:t>Vendor trust</w:t>
            </w:r>
          </w:p>
        </w:tc>
        <w:tc>
          <w:tcPr>
            <w:tcW w:type="dxa" w:w="1008"/>
          </w:tcPr>
          <w:p>
            <w:pPr>
              <w:spacing w:after="0"/>
              <w:jc w:val="left"/>
            </w:pPr>
            <w:r>
              <w:rPr>
                <w:rFonts w:ascii="Times New Roman" w:hAnsi="Times New Roman" w:eastAsia="Times New Roman"/>
                <w:sz w:val="14"/>
              </w:rPr>
              <w:t>No</w:t>
            </w:r>
          </w:p>
        </w:tc>
        <w:tc>
          <w:tcPr>
            <w:tcW w:type="dxa" w:w="720"/>
          </w:tcPr>
          <w:p>
            <w:pPr>
              <w:spacing w:after="0"/>
              <w:jc w:val="left"/>
            </w:pPr>
            <w:r>
              <w:rPr>
                <w:rFonts w:ascii="Times New Roman" w:hAnsi="Times New Roman" w:eastAsia="Times New Roman"/>
                <w:sz w:val="14"/>
              </w:rPr>
              <w:t>Low</w:t>
            </w:r>
          </w:p>
        </w:tc>
      </w:tr>
      <w:tr>
        <w:tc>
          <w:tcPr>
            <w:tcW w:type="dxa" w:w="1872"/>
          </w:tcPr>
          <w:p>
            <w:pPr>
              <w:spacing w:after="0"/>
              <w:jc w:val="left"/>
            </w:pPr>
            <w:r>
              <w:rPr>
                <w:rFonts w:ascii="Times New Roman" w:hAnsi="Times New Roman" w:eastAsia="Times New Roman"/>
                <w:b/>
                <w:sz w:val="14"/>
              </w:rPr>
              <w:t>PolyVote</w:t>
            </w:r>
          </w:p>
        </w:tc>
        <w:tc>
          <w:tcPr>
            <w:tcW w:type="dxa" w:w="1728"/>
          </w:tcPr>
          <w:p>
            <w:pPr>
              <w:spacing w:after="0"/>
              <w:jc w:val="left"/>
            </w:pPr>
            <w:r>
              <w:rPr>
                <w:rFonts w:ascii="Times New Roman" w:hAnsi="Times New Roman" w:eastAsia="Times New Roman"/>
                <w:sz w:val="14"/>
              </w:rPr>
              <w:t>Database rules; keyed ledger</w:t>
            </w:r>
          </w:p>
        </w:tc>
        <w:tc>
          <w:tcPr>
            <w:tcW w:type="dxa" w:w="1008"/>
          </w:tcPr>
          <w:p>
            <w:pPr>
              <w:spacing w:after="0"/>
              <w:jc w:val="left"/>
            </w:pPr>
            <w:r>
              <w:rPr>
                <w:rFonts w:ascii="Times New Roman" w:hAnsi="Times New Roman" w:eastAsia="Times New Roman"/>
                <w:sz w:val="14"/>
              </w:rPr>
              <w:t>Recorded, not content</w:t>
            </w:r>
          </w:p>
        </w:tc>
        <w:tc>
          <w:tcPr>
            <w:tcW w:type="dxa" w:w="720"/>
          </w:tcPr>
          <w:p>
            <w:pPr>
              <w:spacing w:after="0"/>
              <w:jc w:val="left"/>
            </w:pPr>
            <w:r>
              <w:rPr>
                <w:rFonts w:ascii="Times New Roman" w:hAnsi="Times New Roman" w:eastAsia="Times New Roman"/>
                <w:sz w:val="14"/>
              </w:rPr>
              <w:t>Low</w:t>
            </w:r>
          </w:p>
        </w:tc>
      </w:tr>
    </w:tbl>
    <w:p>
      <w:pPr>
        <w:spacing w:after="40"/>
      </w:pPr>
    </w:p>
    <w:p>
      <w:pPr>
        <w:keepNext/>
        <w:spacing w:before="80" w:after="40" w:line="240" w:lineRule="auto"/>
        <w:jc w:val="center"/>
      </w:pPr>
      <w:r>
        <w:rPr>
          <w:rFonts w:ascii="Times New Roman" w:hAnsi="Times New Roman" w:eastAsia="Times New Roman"/>
          <w:sz w:val="16"/>
        </w:rPr>
        <w:t>TABLE IV. Earlier design versus final design.</w:t>
      </w:r>
    </w:p>
    <w:tbl>
      <w:tblPr>
        <w:tblStyle w:val="TableGrid"/>
        <w:tblW w:type="auto" w:w="0"/>
        <w:jc w:val="center"/>
        <w:tblLook w:firstColumn="1" w:firstRow="1" w:lastColumn="0" w:lastRow="0" w:noHBand="0" w:noVBand="1" w:val="04A0"/>
      </w:tblPr>
      <w:tblGrid>
        <w:gridCol w:w="3480"/>
        <w:gridCol w:w="3480"/>
        <w:gridCol w:w="3480"/>
      </w:tblGrid>
      <w:tr>
        <w:tc>
          <w:tcPr>
            <w:tcW w:type="dxa" w:w="2016"/>
          </w:tcPr>
          <w:p>
            <w:pPr>
              <w:spacing w:after="0"/>
              <w:jc w:val="left"/>
            </w:pPr>
            <w:r>
              <w:rPr>
                <w:rFonts w:ascii="Times New Roman" w:hAnsi="Times New Roman" w:eastAsia="Times New Roman"/>
                <w:b/>
                <w:sz w:val="15"/>
              </w:rPr>
              <w:t>Measure</w:t>
            </w:r>
          </w:p>
        </w:tc>
        <w:tc>
          <w:tcPr>
            <w:tcW w:type="dxa" w:w="1296"/>
          </w:tcPr>
          <w:p>
            <w:pPr>
              <w:spacing w:after="0"/>
              <w:jc w:val="left"/>
            </w:pPr>
            <w:r>
              <w:rPr>
                <w:rFonts w:ascii="Times New Roman" w:hAnsi="Times New Roman" w:eastAsia="Times New Roman"/>
                <w:b/>
                <w:sz w:val="15"/>
              </w:rPr>
              <w:t>Earlier design</w:t>
            </w:r>
          </w:p>
        </w:tc>
        <w:tc>
          <w:tcPr>
            <w:tcW w:type="dxa" w:w="1440"/>
          </w:tcPr>
          <w:p>
            <w:pPr>
              <w:spacing w:after="0"/>
              <w:jc w:val="left"/>
            </w:pPr>
            <w:r>
              <w:rPr>
                <w:rFonts w:ascii="Times New Roman" w:hAnsi="Times New Roman" w:eastAsia="Times New Roman"/>
                <w:b/>
                <w:sz w:val="15"/>
              </w:rPr>
              <w:t>Final design</w:t>
            </w:r>
          </w:p>
        </w:tc>
      </w:tr>
      <w:tr>
        <w:tc>
          <w:tcPr>
            <w:tcW w:type="dxa" w:w="2016"/>
          </w:tcPr>
          <w:p>
            <w:pPr>
              <w:spacing w:after="0"/>
              <w:jc w:val="left"/>
            </w:pPr>
            <w:r>
              <w:rPr>
                <w:rFonts w:ascii="Times New Roman" w:hAnsi="Times New Roman" w:eastAsia="Times New Roman"/>
                <w:sz w:val="15"/>
              </w:rPr>
              <w:t>Tampering detected automatically</w:t>
            </w:r>
          </w:p>
        </w:tc>
        <w:tc>
          <w:tcPr>
            <w:tcW w:type="dxa" w:w="1296"/>
          </w:tcPr>
          <w:p>
            <w:pPr>
              <w:spacing w:after="0"/>
              <w:jc w:val="left"/>
            </w:pPr>
            <w:r>
              <w:rPr>
                <w:rFonts w:ascii="Times New Roman" w:hAnsi="Times New Roman" w:eastAsia="Times New Roman"/>
                <w:sz w:val="15"/>
              </w:rPr>
              <w:t>6 of 13</w:t>
            </w:r>
          </w:p>
        </w:tc>
        <w:tc>
          <w:tcPr>
            <w:tcW w:type="dxa" w:w="1440"/>
          </w:tcPr>
          <w:p>
            <w:pPr>
              <w:spacing w:after="0"/>
              <w:jc w:val="left"/>
            </w:pPr>
            <w:r>
              <w:rPr>
                <w:rFonts w:ascii="Times New Roman" w:hAnsi="Times New Roman" w:eastAsia="Times New Roman"/>
                <w:sz w:val="15"/>
              </w:rPr>
              <w:t>12 of 13</w:t>
            </w:r>
          </w:p>
        </w:tc>
      </w:tr>
      <w:tr>
        <w:tc>
          <w:tcPr>
            <w:tcW w:type="dxa" w:w="2016"/>
          </w:tcPr>
          <w:p>
            <w:pPr>
              <w:spacing w:after="0"/>
              <w:jc w:val="left"/>
            </w:pPr>
            <w:r>
              <w:rPr>
                <w:rFonts w:ascii="Times New Roman" w:hAnsi="Times New Roman" w:eastAsia="Times New Roman"/>
                <w:sz w:val="15"/>
              </w:rPr>
              <w:t>Forged receipt / chain rewrite</w:t>
            </w:r>
          </w:p>
        </w:tc>
        <w:tc>
          <w:tcPr>
            <w:tcW w:type="dxa" w:w="1296"/>
          </w:tcPr>
          <w:p>
            <w:pPr>
              <w:spacing w:after="0"/>
              <w:jc w:val="left"/>
            </w:pPr>
            <w:r>
              <w:rPr>
                <w:rFonts w:ascii="Times New Roman" w:hAnsi="Times New Roman" w:eastAsia="Times New Roman"/>
                <w:sz w:val="15"/>
              </w:rPr>
              <w:t>Undetected</w:t>
            </w:r>
          </w:p>
        </w:tc>
        <w:tc>
          <w:tcPr>
            <w:tcW w:type="dxa" w:w="1440"/>
          </w:tcPr>
          <w:p>
            <w:pPr>
              <w:spacing w:after="0"/>
              <w:jc w:val="left"/>
            </w:pPr>
            <w:r>
              <w:rPr>
                <w:rFonts w:ascii="Times New Roman" w:hAnsi="Times New Roman" w:eastAsia="Times New Roman"/>
                <w:sz w:val="15"/>
              </w:rPr>
              <w:t>Detected (key)</w:t>
            </w:r>
          </w:p>
        </w:tc>
      </w:tr>
      <w:tr>
        <w:tc>
          <w:tcPr>
            <w:tcW w:type="dxa" w:w="2016"/>
          </w:tcPr>
          <w:p>
            <w:pPr>
              <w:spacing w:after="0"/>
              <w:jc w:val="left"/>
            </w:pPr>
            <w:r>
              <w:rPr>
                <w:rFonts w:ascii="Times New Roman" w:hAnsi="Times New Roman" w:eastAsia="Times New Roman"/>
                <w:sz w:val="15"/>
              </w:rPr>
              <w:t>Candidate renaming</w:t>
            </w:r>
          </w:p>
        </w:tc>
        <w:tc>
          <w:tcPr>
            <w:tcW w:type="dxa" w:w="1296"/>
          </w:tcPr>
          <w:p>
            <w:pPr>
              <w:spacing w:after="0"/>
              <w:jc w:val="left"/>
            </w:pPr>
            <w:r>
              <w:rPr>
                <w:rFonts w:ascii="Times New Roman" w:hAnsi="Times New Roman" w:eastAsia="Times New Roman"/>
                <w:sz w:val="15"/>
              </w:rPr>
              <w:t>Undetected</w:t>
            </w:r>
          </w:p>
        </w:tc>
        <w:tc>
          <w:tcPr>
            <w:tcW w:type="dxa" w:w="1440"/>
          </w:tcPr>
          <w:p>
            <w:pPr>
              <w:spacing w:after="0"/>
              <w:jc w:val="left"/>
            </w:pPr>
            <w:r>
              <w:rPr>
                <w:rFonts w:ascii="Times New Roman" w:hAnsi="Times New Roman" w:eastAsia="Times New Roman"/>
                <w:sz w:val="15"/>
              </w:rPr>
              <w:t>Detected (roster seal)</w:t>
            </w:r>
          </w:p>
        </w:tc>
      </w:tr>
      <w:tr>
        <w:tc>
          <w:tcPr>
            <w:tcW w:type="dxa" w:w="2016"/>
          </w:tcPr>
          <w:p>
            <w:pPr>
              <w:spacing w:after="0"/>
              <w:jc w:val="left"/>
            </w:pPr>
            <w:r>
              <w:rPr>
                <w:rFonts w:ascii="Times New Roman" w:hAnsi="Times New Roman" w:eastAsia="Times New Roman"/>
                <w:sz w:val="15"/>
              </w:rPr>
              <w:t>DB prevention / API abuse tests</w:t>
            </w:r>
          </w:p>
        </w:tc>
        <w:tc>
          <w:tcPr>
            <w:tcW w:type="dxa" w:w="1296"/>
          </w:tcPr>
          <w:p>
            <w:pPr>
              <w:spacing w:after="0"/>
              <w:jc w:val="left"/>
            </w:pPr>
            <w:r>
              <w:rPr>
                <w:rFonts w:ascii="Times New Roman" w:hAnsi="Times New Roman" w:eastAsia="Times New Roman"/>
                <w:sz w:val="15"/>
              </w:rPr>
              <w:t>6/7, 13/13</w:t>
            </w:r>
          </w:p>
        </w:tc>
        <w:tc>
          <w:tcPr>
            <w:tcW w:type="dxa" w:w="1440"/>
          </w:tcPr>
          <w:p>
            <w:pPr>
              <w:spacing w:after="0"/>
              <w:jc w:val="left"/>
            </w:pPr>
            <w:r>
              <w:rPr>
                <w:rFonts w:ascii="Times New Roman" w:hAnsi="Times New Roman" w:eastAsia="Times New Roman"/>
                <w:sz w:val="15"/>
              </w:rPr>
              <w:t>6/7, 13/13</w:t>
            </w:r>
          </w:p>
        </w:tc>
      </w:tr>
      <w:tr>
        <w:tc>
          <w:tcPr>
            <w:tcW w:type="dxa" w:w="2016"/>
          </w:tcPr>
          <w:p>
            <w:pPr>
              <w:spacing w:after="0"/>
              <w:jc w:val="left"/>
            </w:pPr>
            <w:r>
              <w:rPr>
                <w:rFonts w:ascii="Times New Roman" w:hAnsi="Times New Roman" w:eastAsia="Times New Roman"/>
                <w:sz w:val="15"/>
              </w:rPr>
              <w:t>Voter authentication</w:t>
            </w:r>
          </w:p>
        </w:tc>
        <w:tc>
          <w:tcPr>
            <w:tcW w:type="dxa" w:w="1296"/>
          </w:tcPr>
          <w:p>
            <w:pPr>
              <w:spacing w:after="0"/>
              <w:jc w:val="left"/>
            </w:pPr>
            <w:r>
              <w:rPr>
                <w:rFonts w:ascii="Times New Roman" w:hAnsi="Times New Roman" w:eastAsia="Times New Roman"/>
                <w:sz w:val="15"/>
              </w:rPr>
              <w:t>Password</w:t>
            </w:r>
          </w:p>
        </w:tc>
        <w:tc>
          <w:tcPr>
            <w:tcW w:type="dxa" w:w="1440"/>
          </w:tcPr>
          <w:p>
            <w:pPr>
              <w:spacing w:after="0"/>
              <w:jc w:val="left"/>
            </w:pPr>
            <w:r>
              <w:rPr>
                <w:rFonts w:ascii="Times New Roman" w:hAnsi="Times New Roman" w:eastAsia="Times New Roman"/>
                <w:sz w:val="15"/>
              </w:rPr>
              <w:t>Password + emailed code</w:t>
            </w:r>
          </w:p>
        </w:tc>
      </w:tr>
      <w:tr>
        <w:tc>
          <w:tcPr>
            <w:tcW w:type="dxa" w:w="2016"/>
          </w:tcPr>
          <w:p>
            <w:pPr>
              <w:spacing w:after="0"/>
              <w:jc w:val="left"/>
            </w:pPr>
            <w:r>
              <w:rPr>
                <w:rFonts w:ascii="Times New Roman" w:hAnsi="Times New Roman" w:eastAsia="Times New Roman"/>
                <w:sz w:val="15"/>
              </w:rPr>
              <w:t>Ledger storage</w:t>
            </w:r>
          </w:p>
        </w:tc>
        <w:tc>
          <w:tcPr>
            <w:tcW w:type="dxa" w:w="1296"/>
          </w:tcPr>
          <w:p>
            <w:pPr>
              <w:spacing w:after="0"/>
              <w:jc w:val="left"/>
            </w:pPr>
            <w:r>
              <w:rPr>
                <w:rFonts w:ascii="Times New Roman" w:hAnsi="Times New Roman" w:eastAsia="Times New Roman"/>
                <w:sz w:val="15"/>
              </w:rPr>
              <w:t>Local file</w:t>
            </w:r>
          </w:p>
        </w:tc>
        <w:tc>
          <w:tcPr>
            <w:tcW w:type="dxa" w:w="1440"/>
          </w:tcPr>
          <w:p>
            <w:pPr>
              <w:spacing w:after="0"/>
              <w:jc w:val="left"/>
            </w:pPr>
            <w:r>
              <w:rPr>
                <w:rFonts w:ascii="Times New Roman" w:hAnsi="Times New Roman" w:eastAsia="Times New Roman"/>
                <w:sz w:val="15"/>
              </w:rPr>
              <w:t>MongoDB Atlas</w:t>
            </w:r>
          </w:p>
        </w:tc>
      </w:tr>
      <w:tr>
        <w:tc>
          <w:tcPr>
            <w:tcW w:type="dxa" w:w="2016"/>
          </w:tcPr>
          <w:p>
            <w:pPr>
              <w:spacing w:after="0"/>
              <w:jc w:val="left"/>
            </w:pPr>
            <w:r>
              <w:rPr>
                <w:rFonts w:ascii="Times New Roman" w:hAnsi="Times New Roman" w:eastAsia="Times New Roman"/>
                <w:sz w:val="15"/>
              </w:rPr>
              <w:t>Sweep at 10,000 ballots</w:t>
            </w:r>
          </w:p>
        </w:tc>
        <w:tc>
          <w:tcPr>
            <w:tcW w:type="dxa" w:w="1296"/>
          </w:tcPr>
          <w:p>
            <w:pPr>
              <w:spacing w:after="0"/>
              <w:jc w:val="left"/>
            </w:pPr>
            <w:r>
              <w:rPr>
                <w:rFonts w:ascii="Times New Roman" w:hAnsi="Times New Roman" w:eastAsia="Times New Roman"/>
                <w:sz w:val="15"/>
              </w:rPr>
              <w:t>129 ms</w:t>
            </w:r>
          </w:p>
        </w:tc>
        <w:tc>
          <w:tcPr>
            <w:tcW w:type="dxa" w:w="1440"/>
          </w:tcPr>
          <w:p>
            <w:pPr>
              <w:spacing w:after="0"/>
              <w:jc w:val="left"/>
            </w:pPr>
            <w:r>
              <w:rPr>
                <w:rFonts w:ascii="Times New Roman" w:hAnsi="Times New Roman" w:eastAsia="Times New Roman"/>
                <w:sz w:val="15"/>
              </w:rPr>
              <w:t>147 ms</w:t>
            </w:r>
          </w:p>
        </w:tc>
      </w:tr>
    </w:tbl>
    <w:p>
      <w:pPr>
        <w:spacing w:after="40"/>
      </w:pPr>
    </w:p>
    <w:p>
      <w:pPr>
        <w:spacing w:before="0" w:after="80" w:line="240" w:lineRule="auto"/>
        <w:ind w:firstLine="245"/>
        <w:jc w:val="both"/>
      </w:pPr>
      <w:r>
        <w:rPr>
          <w:rFonts w:ascii="Times New Roman" w:hAnsi="Times New Roman" w:eastAsia="Times New Roman"/>
          <w:sz w:val="20"/>
        </w:rPr>
        <w:t>PolyVote sits at the low-assurance, low-burden end and is not a substitute for verifiable systems where a hostile administrator is the main concern. We claim an improvement over the earlier design and over unprotected relational election applications, not over end-to-end verifiable systems.</w:t>
      </w:r>
    </w:p>
    <w:p>
      <w:pPr>
        <w:keepNext/>
        <w:spacing w:before="160" w:after="80" w:line="240" w:lineRule="auto"/>
        <w:jc w:val="center"/>
      </w:pPr>
      <w:r>
        <w:rPr>
          <w:rFonts w:ascii="Times New Roman" w:hAnsi="Times New Roman" w:eastAsia="Times New Roman"/>
          <w:smallCaps w:val="0"/>
          <w:sz w:val="20"/>
        </w:rPr>
        <w:t>VII. LIMITATIONS AND FUTURE WORK</w:t>
      </w:r>
    </w:p>
    <w:p>
      <w:pPr>
        <w:spacing w:after="40" w:line="240" w:lineRule="auto"/>
        <w:ind w:left="288" w:hanging="216"/>
        <w:jc w:val="both"/>
      </w:pPr>
      <w:r>
        <w:rPr>
          <w:rFonts w:ascii="Times New Roman" w:hAnsi="Times New Roman" w:eastAsia="Times New Roman"/>
          <w:sz w:val="20"/>
        </w:rPr>
        <w:t>• An insider holding the key and both stores can forge a consistent chain (A6). Publishing the chain head to an external witness, as transparency logs do [14], would address this.</w:t>
      </w:r>
    </w:p>
    <w:p>
      <w:pPr>
        <w:spacing w:after="40" w:line="240" w:lineRule="auto"/>
        <w:ind w:left="288" w:hanging="216"/>
        <w:jc w:val="both"/>
      </w:pPr>
      <w:r>
        <w:rPr>
          <w:rFonts w:ascii="Times New Roman" w:hAnsi="Times New Roman" w:eastAsia="Times New Roman"/>
          <w:sz w:val="20"/>
        </w:rPr>
        <w:t>• Roster injection (A7) is not detected; a committed or signed roster is needed.</w:t>
      </w:r>
    </w:p>
    <w:p>
      <w:pPr>
        <w:spacing w:after="40" w:line="240" w:lineRule="auto"/>
        <w:ind w:left="288" w:hanging="216"/>
        <w:jc w:val="both"/>
      </w:pPr>
      <w:r>
        <w:rPr>
          <w:rFonts w:ascii="Times New Roman" w:hAnsi="Times New Roman" w:eastAsia="Times New Roman"/>
          <w:sz w:val="20"/>
        </w:rPr>
        <w:t>• Receipts prove a ballot is recorded and counted, not its content [28]; coercion is not resisted [29].</w:t>
      </w:r>
    </w:p>
    <w:p>
      <w:pPr>
        <w:spacing w:after="40" w:line="240" w:lineRule="auto"/>
        <w:ind w:left="288" w:hanging="216"/>
        <w:jc w:val="both"/>
      </w:pPr>
      <w:r>
        <w:rPr>
          <w:rFonts w:ascii="Times New Roman" w:hAnsi="Times New Roman" w:eastAsia="Times New Roman"/>
          <w:sz w:val="20"/>
        </w:rPr>
        <w:t>• Passwords use plain SHA-256; salted, slow hashing is recommended [30, 31]. Email is a weak factor [24]; TOTP [32] is a stronger alternative.</w:t>
      </w:r>
    </w:p>
    <w:p>
      <w:pPr>
        <w:spacing w:after="40" w:line="240" w:lineRule="auto"/>
        <w:ind w:left="288" w:hanging="216"/>
        <w:jc w:val="both"/>
      </w:pPr>
      <w:r>
        <w:rPr>
          <w:rFonts w:ascii="Times New Roman" w:hAnsi="Times New Roman" w:eastAsia="Times New Roman"/>
          <w:sz w:val="20"/>
        </w:rPr>
        <w:t>• Foreign-key enforcement depends on the connection; a server database removes this. Oracle with PL/SQL, roles and an entity for election positions were deferred.</w:t>
      </w:r>
    </w:p>
    <w:p>
      <w:pPr>
        <w:keepNext/>
        <w:spacing w:before="160" w:after="80" w:line="240" w:lineRule="auto"/>
        <w:jc w:val="center"/>
      </w:pPr>
      <w:r>
        <w:rPr>
          <w:rFonts w:ascii="Times New Roman" w:hAnsi="Times New Roman" w:eastAsia="Times New Roman"/>
          <w:smallCaps w:val="0"/>
          <w:sz w:val="20"/>
        </w:rPr>
        <w:t>VIII. CONCLUSION</w:t>
      </w:r>
    </w:p>
    <w:p>
      <w:pPr>
        <w:spacing w:before="0" w:after="80" w:line="240" w:lineRule="auto"/>
        <w:ind w:firstLine="245"/>
        <w:jc w:val="both"/>
      </w:pPr>
      <w:r>
        <w:rPr>
          <w:rFonts w:ascii="Times New Roman" w:hAnsi="Times New Roman" w:eastAsia="Times New Roman"/>
          <w:sz w:val="20"/>
        </w:rPr>
        <w:t>Using database features alone, PolyVote enforces one-person-one-vote in the engine, stores voters and ballots without a linking column, seals each ballot in a keyed ledger and exposes tampering through a reconciling sweep, with a second authentication factor for sign-in. Of 13 tampering scenarios, the earlier design detected 6 automatically and the final design detects 12, at a small run-time cost. We report one undetected scenario and the limits of the approach, and position the system as a practical option for small elections rather than a rival to cryptographic voting.</w:t>
      </w:r>
    </w:p>
    <w:p>
      <w:pPr>
        <w:keepNext/>
        <w:spacing w:before="160" w:after="80" w:line="240" w:lineRule="auto"/>
        <w:jc w:val="center"/>
      </w:pPr>
      <w:r>
        <w:rPr>
          <w:rFonts w:ascii="Times New Roman" w:hAnsi="Times New Roman" w:eastAsia="Times New Roman"/>
          <w:smallCaps w:val="0"/>
          <w:sz w:val="20"/>
        </w:rPr>
        <w:t>REFERENCES</w:t>
      </w:r>
    </w:p>
    <w:p>
      <w:pPr>
        <w:spacing w:after="20" w:line="240" w:lineRule="auto"/>
        <w:ind w:left="432" w:hanging="432"/>
        <w:jc w:val="both"/>
      </w:pPr>
      <w:r>
        <w:rPr>
          <w:rFonts w:ascii="Times New Roman" w:hAnsi="Times New Roman" w:eastAsia="Times New Roman"/>
          <w:sz w:val="15"/>
        </w:rPr>
        <w:t>[1] B. Adida, “Helios: Web-based Open-Audit Voting,” in Proc. 17th USENIX Security Symposium (USENIX Security 08), San Jose, CA, 2008. [Online]. Available: https://www.usenix.org/conference/17th-usenix-security-symposium/helios-web-based-open-audit-voting</w:t>
      </w:r>
    </w:p>
    <w:p>
      <w:pPr>
        <w:spacing w:after="20" w:line="240" w:lineRule="auto"/>
        <w:ind w:left="432" w:hanging="432"/>
        <w:jc w:val="both"/>
      </w:pPr>
      <w:r>
        <w:rPr>
          <w:rFonts w:ascii="Times New Roman" w:hAnsi="Times New Roman" w:eastAsia="Times New Roman"/>
          <w:sz w:val="15"/>
        </w:rPr>
        <w:t>[2] V. Cortier, P. Gaudry, and S. Glondu, “Belenios: A Simple Private and Verifiable Electronic Voting System,” in Foundations of Security, Protocols, and Equational Reasoning (Lecture Notes in Computer Science), Springer, 2019, pp. 214–238. doi: 10.1007/978-3-030-19052-1_14.</w:t>
      </w:r>
    </w:p>
    <w:p>
      <w:pPr>
        <w:spacing w:after="20" w:line="240" w:lineRule="auto"/>
        <w:ind w:left="432" w:hanging="432"/>
        <w:jc w:val="both"/>
      </w:pPr>
      <w:r>
        <w:rPr>
          <w:rFonts w:ascii="Times New Roman" w:hAnsi="Times New Roman" w:eastAsia="Times New Roman"/>
          <w:sz w:val="15"/>
        </w:rPr>
        <w:t>[3] M. R. Clarkson, S. Chong, and A. C. Myers, “Civitas: Toward a Secure Voting System,” in Proc. 2008 IEEE Symposium on Security and Privacy, 2008, pp. 354–368. doi: 10.1109/sp.2008.32.</w:t>
      </w:r>
    </w:p>
    <w:p>
      <w:pPr>
        <w:spacing w:after="20" w:line="240" w:lineRule="auto"/>
        <w:ind w:left="432" w:hanging="432"/>
        <w:jc w:val="both"/>
      </w:pPr>
      <w:r>
        <w:rPr>
          <w:rFonts w:ascii="Times New Roman" w:hAnsi="Times New Roman" w:eastAsia="Times New Roman"/>
          <w:sz w:val="15"/>
        </w:rPr>
        <w:t>[4] P. Y. A. Ryan, D. Bismark, J. Heather, S. Schneider, and Z. Xia, “Prêt à Voter: a Voter-Verifiable Voting System,” IEEE Transactions on Information Forensics and Security, vol. 4, no. 4, pp. 662–673, 2009. doi: 10.1109/TIFS.2009.2033233.</w:t>
      </w:r>
    </w:p>
    <w:p>
      <w:pPr>
        <w:spacing w:after="20" w:line="240" w:lineRule="auto"/>
        <w:ind w:left="432" w:hanging="432"/>
        <w:jc w:val="both"/>
      </w:pPr>
      <w:r>
        <w:rPr>
          <w:rFonts w:ascii="Times New Roman" w:hAnsi="Times New Roman" w:eastAsia="Times New Roman"/>
          <w:sz w:val="15"/>
        </w:rPr>
        <w:t>[5] D. Chaum et al., “Scantegrity II: End-to-End Verifiability by Voters of Optical Scan Elections Through Confirmation Codes,” IEEE Transactions on Information Forensics and Security, vol. 4, no. 4, pp. 611–627, 2009. doi: 10.1109/tifs.2009.2034919.</w:t>
      </w:r>
    </w:p>
    <w:p>
      <w:pPr>
        <w:spacing w:after="20" w:line="240" w:lineRule="auto"/>
        <w:ind w:left="432" w:hanging="432"/>
        <w:jc w:val="both"/>
      </w:pPr>
      <w:r>
        <w:rPr>
          <w:rFonts w:ascii="Times New Roman" w:hAnsi="Times New Roman" w:eastAsia="Times New Roman"/>
          <w:sz w:val="15"/>
        </w:rPr>
        <w:t>[6] D. Springall et al., “Security Analysis of the Estonian Internet Voting System,” in Proc. 2014 ACM SIGSAC Conference on Computer and Communications Security (CCS '14), 2014, pp. 703–715. doi: 10.1145/2660267.2660315.</w:t>
      </w:r>
    </w:p>
    <w:p>
      <w:pPr>
        <w:spacing w:after="20" w:line="240" w:lineRule="auto"/>
        <w:ind w:left="432" w:hanging="432"/>
        <w:jc w:val="both"/>
      </w:pPr>
      <w:r>
        <w:rPr>
          <w:rFonts w:ascii="Times New Roman" w:hAnsi="Times New Roman" w:eastAsia="Times New Roman"/>
          <w:sz w:val="15"/>
        </w:rPr>
        <w:t>[7] M. A. Specter, J. Koppel, and D. Weitzner, “The Ballot is Busted Before the Blockchain: A Security Analysis of Voatz, the First Internet Voting Application Used in U.S. Federal Elections,” in Proc. 29th USENIX Security Symposium (USENIX Security 20), 2020, pp. 1535–1553. [Online]. Available: https://www.usenix.org/conference/usenixsecurity20/presentation/specter</w:t>
      </w:r>
    </w:p>
    <w:p>
      <w:pPr>
        <w:spacing w:after="20" w:line="240" w:lineRule="auto"/>
        <w:ind w:left="432" w:hanging="432"/>
        <w:jc w:val="both"/>
      </w:pPr>
      <w:r>
        <w:rPr>
          <w:rFonts w:ascii="Times New Roman" w:hAnsi="Times New Roman" w:eastAsia="Times New Roman"/>
          <w:sz w:val="15"/>
        </w:rPr>
        <w:t>[8] M. A. Specter and J. A. Halderman, “Security Analysis of the Democracy Live Online Voting System,” in Proc. 30th USENIX Security Symposium (USENIX Security 21), 2021, pp. 3077–3092. [Online]. Available: https://www.usenix.org/conference/usenixsecurity21/presentation/specter-security</w:t>
      </w:r>
    </w:p>
    <w:p>
      <w:pPr>
        <w:spacing w:after="20" w:line="240" w:lineRule="auto"/>
        <w:ind w:left="432" w:hanging="432"/>
        <w:jc w:val="both"/>
      </w:pPr>
      <w:r>
        <w:rPr>
          <w:rFonts w:ascii="Times New Roman" w:hAnsi="Times New Roman" w:eastAsia="Times New Roman"/>
          <w:sz w:val="15"/>
        </w:rPr>
        <w:t>[9] National Academies of Sciences, Engineering, and Medicine, Securing the Vote: Protecting American Democracy. National Academies Press, Washington, DC, 2018. doi: 10.17226/25120.</w:t>
      </w:r>
    </w:p>
    <w:p>
      <w:pPr>
        <w:spacing w:after="20" w:line="240" w:lineRule="auto"/>
        <w:ind w:left="432" w:hanging="432"/>
        <w:jc w:val="both"/>
      </w:pPr>
      <w:r>
        <w:rPr>
          <w:rFonts w:ascii="Times New Roman" w:hAnsi="Times New Roman" w:eastAsia="Times New Roman"/>
          <w:sz w:val="15"/>
        </w:rPr>
        <w:t>[10] S. Park, M. Specter, N. Narula, and R. L. Rivest, “Going from bad to worse: from Internet voting to blockchain voting,” Journal of Cybersecurity, vol. 7, no. 1, 2021. doi: 10.1093/cybsec/tyaa025.</w:t>
      </w:r>
    </w:p>
    <w:p>
      <w:pPr>
        <w:spacing w:after="20" w:line="240" w:lineRule="auto"/>
        <w:ind w:left="432" w:hanging="432"/>
        <w:jc w:val="both"/>
      </w:pPr>
      <w:r>
        <w:rPr>
          <w:rFonts w:ascii="Times New Roman" w:hAnsi="Times New Roman" w:eastAsia="Times New Roman"/>
          <w:sz w:val="15"/>
        </w:rPr>
        <w:t>[11] S. Haber and W. S. Stornetta, “How to time-stamp a digital document,” Journal of Cryptology, vol. 3, no. 2, pp. 99–111, 1991. doi: 10.1007/BF00196791.</w:t>
      </w:r>
    </w:p>
    <w:p>
      <w:pPr>
        <w:spacing w:after="20" w:line="240" w:lineRule="auto"/>
        <w:ind w:left="432" w:hanging="432"/>
        <w:jc w:val="both"/>
      </w:pPr>
      <w:r>
        <w:rPr>
          <w:rFonts w:ascii="Times New Roman" w:hAnsi="Times New Roman" w:eastAsia="Times New Roman"/>
          <w:sz w:val="15"/>
        </w:rPr>
        <w:t>[12] B. Schneier and J. Kelsey, “Secure audit logs to support computer forensics,” ACM Transactions on Information and System Security, vol. 2, no. 2, pp. 159–176, 1999. doi: 10.1145/317087.317089.</w:t>
      </w:r>
    </w:p>
    <w:p>
      <w:pPr>
        <w:spacing w:after="20" w:line="240" w:lineRule="auto"/>
        <w:ind w:left="432" w:hanging="432"/>
        <w:jc w:val="both"/>
      </w:pPr>
      <w:r>
        <w:rPr>
          <w:rFonts w:ascii="Times New Roman" w:hAnsi="Times New Roman" w:eastAsia="Times New Roman"/>
          <w:sz w:val="15"/>
        </w:rPr>
        <w:t>[13] S. A. Crosby and D. S. Wallach, “Efficient Data Structures for Tamper-Evident Logging,” in Proc. 18th USENIX Security Symposium (USENIX Security 09), Montreal, Canada, 2009. [Online]. Available: https://www.usenix.org/conference/usenixsecurity09/technical-sessions/presentation/efficient-data-structures-tamper-evident</w:t>
      </w:r>
    </w:p>
    <w:p>
      <w:pPr>
        <w:spacing w:after="20" w:line="240" w:lineRule="auto"/>
        <w:ind w:left="432" w:hanging="432"/>
        <w:jc w:val="both"/>
      </w:pPr>
      <w:r>
        <w:rPr>
          <w:rFonts w:ascii="Times New Roman" w:hAnsi="Times New Roman" w:eastAsia="Times New Roman"/>
          <w:sz w:val="15"/>
        </w:rPr>
        <w:t>[14] B. Laurie, A. Langley, and E. Kasper, “Certificate Transparency,” IETF, RFC 6962, 2013 (Experimental). [Online]. Available: https://www.rfc-editor.org/info/rfc6962</w:t>
      </w:r>
    </w:p>
    <w:p>
      <w:pPr>
        <w:spacing w:after="20" w:line="240" w:lineRule="auto"/>
        <w:ind w:left="432" w:hanging="432"/>
        <w:jc w:val="both"/>
      </w:pPr>
      <w:r>
        <w:rPr>
          <w:rFonts w:ascii="Times New Roman" w:hAnsi="Times New Roman" w:eastAsia="Times New Roman"/>
          <w:sz w:val="15"/>
        </w:rPr>
        <w:t>[15] R. T. Snodgrass, S. S. Yao, and C. Collberg, “Tamper Detection in Audit Logs,” in Proc. 2004 VLDB Conference, 2004, pp. 504–515. doi: 10.1016/b978-012088469-8.50046-2.</w:t>
      </w:r>
    </w:p>
    <w:p>
      <w:pPr>
        <w:spacing w:after="20" w:line="240" w:lineRule="auto"/>
        <w:ind w:left="432" w:hanging="432"/>
        <w:jc w:val="both"/>
      </w:pPr>
      <w:r>
        <w:rPr>
          <w:rFonts w:ascii="Times New Roman" w:hAnsi="Times New Roman" w:eastAsia="Times New Roman"/>
          <w:sz w:val="15"/>
        </w:rPr>
        <w:t>[16] K. E. Pavlou and R. T. Snodgrass, “Forensic analysis of database tampering,” ACM Transactions on Database Systems, vol. 33, no. 4, pp. 1–47, 2008. doi: 10.1145/1412331.1412342.</w:t>
      </w:r>
    </w:p>
    <w:p>
      <w:pPr>
        <w:spacing w:after="20" w:line="240" w:lineRule="auto"/>
        <w:ind w:left="432" w:hanging="432"/>
        <w:jc w:val="both"/>
      </w:pPr>
      <w:r>
        <w:rPr>
          <w:rFonts w:ascii="Times New Roman" w:hAnsi="Times New Roman" w:eastAsia="Times New Roman"/>
          <w:sz w:val="15"/>
        </w:rPr>
        <w:t>[17] P. Antonopoulos et al., “SQL Ledger: Cryptographically Verifiable Data in Azure SQL Database,” in Proc. 2021 International Conference on Management of Data (SIGMOD '21), 2021, pp. 2437–2449. doi: 10.1145/3448016.3457558.</w:t>
      </w:r>
    </w:p>
    <w:p>
      <w:pPr>
        <w:spacing w:after="20" w:line="240" w:lineRule="auto"/>
        <w:ind w:left="432" w:hanging="432"/>
        <w:jc w:val="both"/>
      </w:pPr>
      <w:r>
        <w:rPr>
          <w:rFonts w:ascii="Times New Roman" w:hAnsi="Times New Roman" w:eastAsia="Times New Roman"/>
          <w:sz w:val="15"/>
        </w:rPr>
        <w:t>[18] T. R. Magrino, R. L. Rivest, E. Shen, and D. Wagner, “Computing the Margin of Victory in IRV Elections,” in Proc. 2011 Electronic Voting Technology Workshop / Workshop on Trustworthy Elections (EVT/WOTE '11), San Francisco, CA, 2011. [Online]. Available: https://www.usenix.org/conference/evtwote-11/computing-margin-victory-irv-elections</w:t>
      </w:r>
    </w:p>
    <w:p>
      <w:pPr>
        <w:spacing w:after="20" w:line="240" w:lineRule="auto"/>
        <w:ind w:left="432" w:hanging="432"/>
        <w:jc w:val="both"/>
      </w:pPr>
      <w:r>
        <w:rPr>
          <w:rFonts w:ascii="Times New Roman" w:hAnsi="Times New Roman" w:eastAsia="Times New Roman"/>
          <w:sz w:val="15"/>
        </w:rPr>
        <w:t>[19] M. Blom, P. J. Stuckey, and V. Teague, “RAIRE: Risk-Limiting Audits for IRV Elections,” arXiv preprint arXiv:1903.08804 [cs.DS], 2019. [Online]. Available: https://arxiv.org/abs/1903.08804</w:t>
      </w:r>
    </w:p>
    <w:p>
      <w:pPr>
        <w:spacing w:after="20" w:line="240" w:lineRule="auto"/>
        <w:ind w:left="432" w:hanging="432"/>
        <w:jc w:val="both"/>
      </w:pPr>
      <w:r>
        <w:rPr>
          <w:rFonts w:ascii="Times New Roman" w:hAnsi="Times New Roman" w:eastAsia="Times New Roman"/>
          <w:sz w:val="15"/>
        </w:rPr>
        <w:t>[20] S. Aulbach, T. Grust, D. Jacobs, A. Kemper, and J. Rittinger, “Multi-tenant databases for software as a service: schema-mapping techniques,” in Proc. 2008 ACM SIGMOD International Conference on Management of Data, 2008, pp. 1195–1206. doi: 10.1145/1376616.1376736.</w:t>
      </w:r>
    </w:p>
    <w:p>
      <w:pPr>
        <w:spacing w:after="20" w:line="240" w:lineRule="auto"/>
        <w:ind w:left="432" w:hanging="432"/>
        <w:jc w:val="both"/>
      </w:pPr>
      <w:r>
        <w:rPr>
          <w:rFonts w:ascii="Times New Roman" w:hAnsi="Times New Roman" w:eastAsia="Times New Roman"/>
          <w:sz w:val="15"/>
        </w:rPr>
        <w:t>[21] P. J. Sadalage and M. Fowler, NoSQL Distilled: A Brief Guide to the Emerging World of Polyglot Persistence. Addison-Wesley Professional, 2012. [Online]. Available: https://martinfowler.com/books/nosql.html</w:t>
      </w:r>
    </w:p>
    <w:p>
      <w:pPr>
        <w:spacing w:after="20" w:line="240" w:lineRule="auto"/>
        <w:ind w:left="432" w:hanging="432"/>
        <w:jc w:val="both"/>
      </w:pPr>
      <w:r>
        <w:rPr>
          <w:rFonts w:ascii="Times New Roman" w:hAnsi="Times New Roman" w:eastAsia="Times New Roman"/>
          <w:sz w:val="15"/>
        </w:rPr>
        <w:t>[22] E. Bertino and R. Sandhu, “Database security - concepts, approaches, and challenges,” IEEE Transactions on Dependable and Secure Computing, vol. 2, no. 1, pp. 2–19, 2005. doi: 10.1109/TDSC.2005.9.</w:t>
      </w:r>
    </w:p>
    <w:p>
      <w:pPr>
        <w:spacing w:after="20" w:line="240" w:lineRule="auto"/>
        <w:ind w:left="432" w:hanging="432"/>
        <w:jc w:val="both"/>
      </w:pPr>
      <w:r>
        <w:rPr>
          <w:rFonts w:ascii="Times New Roman" w:hAnsi="Times New Roman" w:eastAsia="Times New Roman"/>
          <w:sz w:val="15"/>
        </w:rPr>
        <w:t>[23] D. Temoshok et al., “Digital Identity Guidelines: Authentication and Authenticator Management,” NIST Special Publication 800-63B-4, National Institute of Standards and Technology, 2025. doi: 10.6028/NIST.SP.800-63b-4.</w:t>
      </w:r>
    </w:p>
    <w:p>
      <w:pPr>
        <w:spacing w:after="20" w:line="240" w:lineRule="auto"/>
        <w:ind w:left="432" w:hanging="432"/>
        <w:jc w:val="both"/>
      </w:pPr>
      <w:r>
        <w:rPr>
          <w:rFonts w:ascii="Times New Roman" w:hAnsi="Times New Roman" w:eastAsia="Times New Roman"/>
          <w:sz w:val="15"/>
        </w:rPr>
        <w:t>[24] S. L. Garfinkel, “Email-based identification and authentication: an alternative to PKI?,” IEEE Security &amp; Privacy, vol. 1, no. 6, pp. 20–26, 2003. doi: 10.1109/MSECP.2003.1253564.</w:t>
      </w:r>
    </w:p>
    <w:p>
      <w:pPr>
        <w:spacing w:after="20" w:line="240" w:lineRule="auto"/>
        <w:ind w:left="432" w:hanging="432"/>
        <w:jc w:val="both"/>
      </w:pPr>
      <w:r>
        <w:rPr>
          <w:rFonts w:ascii="Times New Roman" w:hAnsi="Times New Roman" w:eastAsia="Times New Roman"/>
          <w:sz w:val="15"/>
        </w:rPr>
        <w:t>[25] A. Dmitrienko, C. Liebchen, C. Rossow, and A.-R. Sadeghi, “On the (In)Security of Mobile Two-Factor Authentication,” in Financial Cryptography and Data Security (FC 2014), Lecture Notes in Computer Science, Springer, 2014, pp. 365–383. doi: 10.1007/978-3-662-45472-5_24.</w:t>
      </w:r>
    </w:p>
    <w:p>
      <w:pPr>
        <w:spacing w:after="20" w:line="240" w:lineRule="auto"/>
        <w:ind w:left="432" w:hanging="432"/>
        <w:jc w:val="both"/>
      </w:pPr>
      <w:r>
        <w:rPr>
          <w:rFonts w:ascii="Times New Roman" w:hAnsi="Times New Roman" w:eastAsia="Times New Roman"/>
          <w:sz w:val="15"/>
        </w:rPr>
        <w:t>[26] “PostgreSQL 18 Documentation, Section 5.5: Constraints,” PostgreSQL Global Development Group, PostgreSQL Documentation. [Online]. Available: https://www.postgresql.org/docs/current/ddl-constraints.html (accessed Oct. 22, 2026).</w:t>
      </w:r>
    </w:p>
    <w:p>
      <w:pPr>
        <w:spacing w:after="20" w:line="240" w:lineRule="auto"/>
        <w:ind w:left="432" w:hanging="432"/>
        <w:jc w:val="both"/>
      </w:pPr>
      <w:r>
        <w:rPr>
          <w:rFonts w:ascii="Times New Roman" w:hAnsi="Times New Roman" w:eastAsia="Times New Roman"/>
          <w:sz w:val="15"/>
        </w:rPr>
        <w:t>[27] “PostgreSQL 18 Documentation, Chapter 37: Triggers,” PostgreSQL Global Development Group, PostgreSQL Documentation. [Online]. Available: https://www.postgresql.org/docs/current/triggers.html (accessed Oct. 22, 2026).</w:t>
      </w:r>
    </w:p>
    <w:p>
      <w:pPr>
        <w:spacing w:after="20" w:line="240" w:lineRule="auto"/>
        <w:ind w:left="432" w:hanging="432"/>
        <w:jc w:val="both"/>
      </w:pPr>
      <w:r>
        <w:rPr>
          <w:rFonts w:ascii="Times New Roman" w:hAnsi="Times New Roman" w:eastAsia="Times New Roman"/>
          <w:sz w:val="15"/>
        </w:rPr>
        <w:t>[28] D. Chaum, “Secret-ballot receipts: true voter-verifiable elections,” IEEE Security &amp; Privacy, vol. 2, no. 1, pp. 38–47, 2004. doi: 10.1109/MSECP.2004.1264852.</w:t>
      </w:r>
    </w:p>
    <w:p>
      <w:pPr>
        <w:spacing w:after="20" w:line="240" w:lineRule="auto"/>
        <w:ind w:left="432" w:hanging="432"/>
        <w:jc w:val="both"/>
      </w:pPr>
      <w:r>
        <w:rPr>
          <w:rFonts w:ascii="Times New Roman" w:hAnsi="Times New Roman" w:eastAsia="Times New Roman"/>
          <w:sz w:val="15"/>
        </w:rPr>
        <w:t>[29] A. Juels, D. Catalano, and M. Jakobsson, “Coercion-resistant electronic elections,” in Proc. 2005 ACM Workshop on Privacy in the Electronic Society (WPES '05), 2005, pp. 61–70. doi: 10.1145/1102199.1102213.</w:t>
      </w:r>
    </w:p>
    <w:p>
      <w:pPr>
        <w:spacing w:after="20" w:line="240" w:lineRule="auto"/>
        <w:ind w:left="432" w:hanging="432"/>
        <w:jc w:val="both"/>
      </w:pPr>
      <w:r>
        <w:rPr>
          <w:rFonts w:ascii="Times New Roman" w:hAnsi="Times New Roman" w:eastAsia="Times New Roman"/>
          <w:sz w:val="15"/>
        </w:rPr>
        <w:t>[30] M. Sönmez Turan, E. Barker, W. Burr, and L. Chen, “Recommendation for Password-Based Key Derivation: Part 1: Storage Applications,” NIST Special Publication 800-132, National Institute of Standards and Technology, 2010. doi: 10.6028/NIST.SP.800-132.</w:t>
      </w:r>
    </w:p>
    <w:p>
      <w:pPr>
        <w:spacing w:after="20" w:line="240" w:lineRule="auto"/>
        <w:ind w:left="432" w:hanging="432"/>
        <w:jc w:val="both"/>
      </w:pPr>
      <w:r>
        <w:rPr>
          <w:rFonts w:ascii="Times New Roman" w:hAnsi="Times New Roman" w:eastAsia="Times New Roman"/>
          <w:sz w:val="15"/>
        </w:rPr>
        <w:t>[31] OWASP, “Password Storage Cheat Sheet,” OWASP Cheat Sheet Series, OWASP Foundation. [Online]. Available: https://cheatsheetseries.owasp.org/cheatsheets/Password_Storage_Cheat_Sheet.html (accessed Oct. 22, 2026).</w:t>
      </w:r>
    </w:p>
    <w:p>
      <w:pPr>
        <w:spacing w:after="20" w:line="240" w:lineRule="auto"/>
        <w:ind w:left="432" w:hanging="432"/>
        <w:jc w:val="both"/>
      </w:pPr>
      <w:r>
        <w:rPr>
          <w:rFonts w:ascii="Times New Roman" w:hAnsi="Times New Roman" w:eastAsia="Times New Roman"/>
          <w:sz w:val="15"/>
        </w:rPr>
        <w:t>[32] D. M'Raihi, S. Machani, M. Pei, and J. Rydell, “TOTP: Time-Based One-Time Password Algorithm,” IETF, RFC 6238, 2011 (Informational). [Online]. Available: https://www.rfc-editor.org/info/rfc6238</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