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A274C">
      <w:pPr>
        <w:pStyle w:val="5"/>
      </w:pPr>
      <w:bookmarkStart w:id="0" w:name="_GoBack"/>
      <w:bookmarkEnd w:id="0"/>
      <w:r>
        <w:t xml:space="preserve">* </w:t>
      </w:r>
      <w:r>
        <w:rPr>
          <w:spacing w:val="-2"/>
        </w:rPr>
        <w:t>Abstract:</w:t>
      </w:r>
    </w:p>
    <w:p w14:paraId="2A916C75">
      <w:pPr>
        <w:pStyle w:val="4"/>
        <w:spacing w:before="27"/>
        <w:ind w:left="0"/>
        <w:jc w:val="left"/>
        <w:rPr>
          <w:b/>
        </w:rPr>
      </w:pPr>
    </w:p>
    <w:p w14:paraId="382F3450">
      <w:pPr>
        <w:pStyle w:val="4"/>
        <w:spacing w:line="259" w:lineRule="auto"/>
        <w:ind w:right="107" w:firstLine="284"/>
      </w:pPr>
      <w:r>
        <w:t>For 5G applications, a compact inset coupled-fed high bandwidth triangle antenna is demonstrated.</w:t>
      </w:r>
      <w:r>
        <w:rPr>
          <w:spacing w:val="-12"/>
        </w:rPr>
        <w:t xml:space="preserve"> </w:t>
      </w:r>
      <w:r>
        <w:t>A</w:t>
      </w:r>
      <w:r>
        <w:rPr>
          <w:spacing w:val="-13"/>
        </w:rPr>
        <w:t xml:space="preserve"> </w:t>
      </w:r>
      <w:r>
        <w:t>large</w:t>
      </w:r>
      <w:r>
        <w:rPr>
          <w:spacing w:val="-12"/>
        </w:rPr>
        <w:t xml:space="preserve"> </w:t>
      </w:r>
      <w:r>
        <w:t>bandwidth</w:t>
      </w:r>
      <w:r>
        <w:rPr>
          <w:spacing w:val="-12"/>
        </w:rPr>
        <w:t xml:space="preserve"> </w:t>
      </w:r>
      <w:r>
        <w:t>can</w:t>
      </w:r>
      <w:r>
        <w:rPr>
          <w:spacing w:val="-14"/>
        </w:rPr>
        <w:t xml:space="preserve"> </w:t>
      </w:r>
      <w:r>
        <w:t>be</w:t>
      </w:r>
      <w:r>
        <w:rPr>
          <w:spacing w:val="-12"/>
        </w:rPr>
        <w:t xml:space="preserve"> </w:t>
      </w:r>
      <w:r>
        <w:t>achieved</w:t>
      </w:r>
      <w:r>
        <w:rPr>
          <w:spacing w:val="-14"/>
        </w:rPr>
        <w:t xml:space="preserve"> </w:t>
      </w:r>
      <w:r>
        <w:t>by</w:t>
      </w:r>
      <w:r>
        <w:rPr>
          <w:spacing w:val="-12"/>
        </w:rPr>
        <w:t xml:space="preserve"> </w:t>
      </w:r>
      <w:r>
        <w:t>combining</w:t>
      </w:r>
      <w:r>
        <w:rPr>
          <w:spacing w:val="-12"/>
        </w:rPr>
        <w:t xml:space="preserve"> </w:t>
      </w:r>
      <w:r>
        <w:t>the</w:t>
      </w:r>
      <w:r>
        <w:rPr>
          <w:spacing w:val="-13"/>
        </w:rPr>
        <w:t xml:space="preserve"> </w:t>
      </w:r>
      <w:r>
        <w:t>inset</w:t>
      </w:r>
      <w:r>
        <w:rPr>
          <w:spacing w:val="-13"/>
        </w:rPr>
        <w:t xml:space="preserve"> </w:t>
      </w:r>
      <w:r>
        <w:t>and</w:t>
      </w:r>
      <w:r>
        <w:rPr>
          <w:spacing w:val="-12"/>
        </w:rPr>
        <w:t xml:space="preserve"> </w:t>
      </w:r>
      <w:r>
        <w:t>coupling</w:t>
      </w:r>
      <w:r>
        <w:rPr>
          <w:spacing w:val="-13"/>
        </w:rPr>
        <w:t xml:space="preserve"> </w:t>
      </w:r>
      <w:r>
        <w:t>feeding</w:t>
      </w:r>
      <w:r>
        <w:rPr>
          <w:spacing w:val="-13"/>
        </w:rPr>
        <w:t xml:space="preserve"> </w:t>
      </w:r>
      <w:r>
        <w:t>with a triangle-shaped patch. With a VSWR of less than 2, the suggested antenna's working frequency of 3.6 GHz spans the frequency range needed for 5G applications, which is between 2.8 and 5.6 GHz. The primary characteristics of the suggested antenna are its smaller dimensions (20.5 × 13.5 mm2) and about 35% increased bandwidth. Significant factors that match the simulated results exactly are S11, radiation pattern, radiation efficiency, and peak gain in the proceeding of the proposed antenna. With the addition of two parallel rectangular strips with a triangular-shaped patch,</w:t>
      </w:r>
      <w:r>
        <w:rPr>
          <w:spacing w:val="9"/>
        </w:rPr>
        <w:t xml:space="preserve"> </w:t>
      </w:r>
      <w:r>
        <w:t>the</w:t>
      </w:r>
      <w:r>
        <w:rPr>
          <w:spacing w:val="12"/>
        </w:rPr>
        <w:t xml:space="preserve"> </w:t>
      </w:r>
      <w:r>
        <w:t>antenna</w:t>
      </w:r>
      <w:r>
        <w:rPr>
          <w:spacing w:val="12"/>
        </w:rPr>
        <w:t xml:space="preserve"> </w:t>
      </w:r>
      <w:r>
        <w:t>is</w:t>
      </w:r>
      <w:r>
        <w:rPr>
          <w:spacing w:val="11"/>
        </w:rPr>
        <w:t xml:space="preserve"> </w:t>
      </w:r>
      <w:r>
        <w:t>capable</w:t>
      </w:r>
      <w:r>
        <w:rPr>
          <w:spacing w:val="12"/>
        </w:rPr>
        <w:t xml:space="preserve"> </w:t>
      </w:r>
      <w:r>
        <w:t>to</w:t>
      </w:r>
      <w:r>
        <w:rPr>
          <w:spacing w:val="11"/>
        </w:rPr>
        <w:t xml:space="preserve"> </w:t>
      </w:r>
      <w:r>
        <w:t>achieve</w:t>
      </w:r>
      <w:r>
        <w:rPr>
          <w:spacing w:val="11"/>
        </w:rPr>
        <w:t xml:space="preserve"> </w:t>
      </w:r>
      <w:r>
        <w:t>40%</w:t>
      </w:r>
      <w:r>
        <w:rPr>
          <w:spacing w:val="11"/>
        </w:rPr>
        <w:t xml:space="preserve"> </w:t>
      </w:r>
      <w:r>
        <w:t>reductions</w:t>
      </w:r>
      <w:r>
        <w:rPr>
          <w:spacing w:val="11"/>
        </w:rPr>
        <w:t xml:space="preserve"> </w:t>
      </w:r>
      <w:r>
        <w:t>in</w:t>
      </w:r>
      <w:r>
        <w:rPr>
          <w:spacing w:val="11"/>
        </w:rPr>
        <w:t xml:space="preserve"> </w:t>
      </w:r>
      <w:r>
        <w:t>size,</w:t>
      </w:r>
      <w:r>
        <w:rPr>
          <w:spacing w:val="12"/>
        </w:rPr>
        <w:t xml:space="preserve"> </w:t>
      </w:r>
      <w:r>
        <w:t>81.74%</w:t>
      </w:r>
      <w:r>
        <w:rPr>
          <w:spacing w:val="12"/>
        </w:rPr>
        <w:t xml:space="preserve"> </w:t>
      </w:r>
      <w:r>
        <w:t>radiation</w:t>
      </w:r>
      <w:r>
        <w:rPr>
          <w:spacing w:val="11"/>
        </w:rPr>
        <w:t xml:space="preserve"> </w:t>
      </w:r>
      <w:r>
        <w:t>efficiency,</w:t>
      </w:r>
      <w:r>
        <w:rPr>
          <w:spacing w:val="12"/>
        </w:rPr>
        <w:t xml:space="preserve"> </w:t>
      </w:r>
      <w:r>
        <w:rPr>
          <w:spacing w:val="-5"/>
        </w:rPr>
        <w:t>and</w:t>
      </w:r>
    </w:p>
    <w:p w14:paraId="79750E92">
      <w:pPr>
        <w:pStyle w:val="4"/>
        <w:spacing w:line="259" w:lineRule="auto"/>
        <w:ind w:right="109"/>
      </w:pPr>
      <w:r>
        <w:t>2.61 dB peak gain for the suggested antenna. With a center frequency of 3.6 GHz and a reflection coefficient of 28.6 dB, the fractional bandwidth is 66.67% (2.8 GHz to 5.6 GHz).</w:t>
      </w:r>
      <w:r>
        <w:rPr>
          <w:spacing w:val="40"/>
        </w:rPr>
        <w:t xml:space="preserve"> </w:t>
      </w:r>
      <w:r>
        <w:t>With a smaller surface</w:t>
      </w:r>
      <w:r>
        <w:rPr>
          <w:spacing w:val="-15"/>
        </w:rPr>
        <w:t xml:space="preserve"> </w:t>
      </w:r>
      <w:r>
        <w:t>wave</w:t>
      </w:r>
      <w:r>
        <w:rPr>
          <w:spacing w:val="-15"/>
        </w:rPr>
        <w:t xml:space="preserve"> </w:t>
      </w:r>
      <w:r>
        <w:t>and</w:t>
      </w:r>
      <w:r>
        <w:rPr>
          <w:spacing w:val="-15"/>
        </w:rPr>
        <w:t xml:space="preserve"> </w:t>
      </w:r>
      <w:r>
        <w:t>an</w:t>
      </w:r>
      <w:r>
        <w:rPr>
          <w:spacing w:val="-15"/>
        </w:rPr>
        <w:t xml:space="preserve"> </w:t>
      </w:r>
      <w:r>
        <w:t>excellent</w:t>
      </w:r>
      <w:r>
        <w:rPr>
          <w:spacing w:val="-15"/>
        </w:rPr>
        <w:t xml:space="preserve"> </w:t>
      </w:r>
      <w:r>
        <w:t>omnidirectional</w:t>
      </w:r>
      <w:r>
        <w:rPr>
          <w:spacing w:val="-15"/>
        </w:rPr>
        <w:t xml:space="preserve"> </w:t>
      </w:r>
      <w:r>
        <w:t>radiation</w:t>
      </w:r>
      <w:r>
        <w:rPr>
          <w:spacing w:val="-15"/>
        </w:rPr>
        <w:t xml:space="preserve"> </w:t>
      </w:r>
      <w:r>
        <w:t>pattern,</w:t>
      </w:r>
      <w:r>
        <w:rPr>
          <w:spacing w:val="-15"/>
        </w:rPr>
        <w:t xml:space="preserve"> </w:t>
      </w:r>
      <w:r>
        <w:t>the</w:t>
      </w:r>
      <w:r>
        <w:rPr>
          <w:spacing w:val="-15"/>
        </w:rPr>
        <w:t xml:space="preserve"> </w:t>
      </w:r>
      <w:r>
        <w:t>antenna's</w:t>
      </w:r>
      <w:r>
        <w:rPr>
          <w:spacing w:val="-15"/>
        </w:rPr>
        <w:t xml:space="preserve"> </w:t>
      </w:r>
      <w:r>
        <w:t>inset</w:t>
      </w:r>
      <w:r>
        <w:rPr>
          <w:spacing w:val="-15"/>
        </w:rPr>
        <w:t xml:space="preserve"> </w:t>
      </w:r>
      <w:r>
        <w:t>coupling</w:t>
      </w:r>
      <w:r>
        <w:rPr>
          <w:spacing w:val="-15"/>
        </w:rPr>
        <w:t xml:space="preserve"> </w:t>
      </w:r>
      <w:r>
        <w:t>feeding arrangement makes it appropriate for Sub-GHz 5G applications.</w:t>
      </w:r>
    </w:p>
    <w:sectPr>
      <w:type w:val="continuous"/>
      <w:pgSz w:w="11910" w:h="16840"/>
      <w:pgMar w:top="1360" w:right="88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31C0F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9"/>
      <w:jc w:val="both"/>
    </w:pPr>
    <w:rPr>
      <w:rFonts w:ascii="Times New Roman" w:hAnsi="Times New Roman" w:eastAsia="Times New Roman" w:cs="Times New Roman"/>
      <w:sz w:val="24"/>
      <w:szCs w:val="24"/>
      <w:lang w:val="en-US" w:eastAsia="en-US" w:bidi="ar-SA"/>
    </w:rPr>
  </w:style>
  <w:style w:type="paragraph" w:styleId="5">
    <w:name w:val="Title"/>
    <w:basedOn w:val="1"/>
    <w:qFormat/>
    <w:uiPriority w:val="1"/>
    <w:pPr>
      <w:spacing w:before="62"/>
      <w:ind w:left="404"/>
    </w:pPr>
    <w:rPr>
      <w:rFonts w:ascii="Times New Roman" w:hAnsi="Times New Roman" w:eastAsia="Times New Roman" w:cs="Times New Roman"/>
      <w:b/>
      <w:bCs/>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TotalTime>0</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2024-10-25T06:04:00Z</dcterms:created>
  <dc:creator>mohan rc</dc:creator>
  <cp:lastModifiedBy>PC</cp:lastModifiedBy>
  <dcterms:modified xsi:type="dcterms:W3CDTF">2024-10-25T06:07:32Z</dcterms:modified>
  <dc:title>Intellectual Property India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Acrobat PDFMaker 20 for Word</vt:lpwstr>
  </property>
  <property fmtid="{D5CDD505-2E9C-101B-9397-08002B2CF9AE}" pid="4" name="LastSaved">
    <vt:filetime>2024-10-25T00:00:00Z</vt:filetime>
  </property>
  <property fmtid="{D5CDD505-2E9C-101B-9397-08002B2CF9AE}" pid="5" name="Producer">
    <vt:lpwstr>Adobe PDF Library 20.13.106; modified using iTextSharp 5.1.2 (c) 1T3XT BVBA</vt:lpwstr>
  </property>
  <property fmtid="{D5CDD505-2E9C-101B-9397-08002B2CF9AE}" pid="6" name="SourceModified">
    <vt:lpwstr>D:20240703131432</vt:lpwstr>
  </property>
  <property fmtid="{D5CDD505-2E9C-101B-9397-08002B2CF9AE}" pid="7" name="KSOProductBuildVer">
    <vt:lpwstr>2057-12.2.0.18607</vt:lpwstr>
  </property>
  <property fmtid="{D5CDD505-2E9C-101B-9397-08002B2CF9AE}" pid="8" name="ICV">
    <vt:lpwstr>6E7CD52EA56B42B68FA600CC42443664_13</vt:lpwstr>
  </property>
</Properties>
</file>