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0E5C5B"/>
          <w:sz w:val="22"/>
        </w:rPr>
        <w:t>CIS6003 ADVANCED PROGRAMMING — TASK A · 20 MARKS</w:t>
      </w:r>
    </w:p>
    <w:p>
      <w:pPr>
        <w:spacing w:after="200"/>
        <w:jc w:val="center"/>
      </w:pPr>
      <w:r>
        <w:rPr>
          <w:rFonts w:ascii="Times New Roman" w:hAnsi="Times New Roman"/>
          <w:b/>
          <w:sz w:val="44"/>
        </w:rPr>
        <w:t>Sunrise Dental Clinic</w:t>
        <w:br/>
        <w:t>System Design with UML</w:t>
      </w:r>
    </w:p>
    <w:p>
      <w:pPr>
        <w:spacing w:after="400"/>
        <w:jc w:val="center"/>
      </w:pPr>
      <w:r>
        <w:rPr>
          <w:rFonts w:ascii="Times New Roman" w:hAnsi="Times New Roman"/>
          <w:i/>
          <w:sz w:val="24"/>
        </w:rPr>
        <w:t>Use case, class, and sequence diagrams for the appointment and patient management system, derived directly from the implemented Spring Boot backend and JavaFX client — not a speculative design produced ahead of the code.</w:t>
      </w:r>
    </w:p>
    <w:p/>
    <w:p>
      <w:pPr>
        <w:spacing w:before="360" w:after="160" w:line="240" w:lineRule="auto"/>
      </w:pPr>
      <w:r>
        <w:rPr>
          <w:rFonts w:ascii="Times New Roman" w:hAnsi="Times New Roman"/>
          <w:b/>
          <w:color w:val="0E5C5B"/>
          <w:sz w:val="28"/>
        </w:rPr>
        <w:t xml:space="preserve">A.1  </w:t>
      </w:r>
      <w:r>
        <w:rPr>
          <w:rFonts w:ascii="Times New Roman" w:hAnsi="Times New Roman"/>
          <w:b/>
          <w:sz w:val="28"/>
        </w:rPr>
        <w:t>Use Case Diagram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 xml:space="preserve">Mermaid has no first-class use-case notation, so actors are drawn as boxed nodes and use cases as stadium shapes inside the system boundary, which is the standard workaround and keeps the semantics — actor associations, </w:t>
      </w:r>
      <w:r>
        <w:rPr>
          <w:rFonts w:ascii="Consolas" w:hAnsi="Consolas"/>
          <w:sz w:val="21"/>
        </w:rPr>
        <w:t>&lt;&lt;include&gt;&gt;</w:t>
      </w:r>
      <w:r>
        <w:rPr>
          <w:rFonts w:ascii="Times New Roman" w:hAnsi="Times New Roman"/>
          <w:i w:val="0"/>
          <w:sz w:val="24"/>
        </w:rPr>
        <w:t xml:space="preserve">, and </w:t>
      </w:r>
      <w:r>
        <w:rPr>
          <w:rFonts w:ascii="Consolas" w:hAnsi="Consolas"/>
          <w:sz w:val="21"/>
        </w:rPr>
        <w:t>&lt;&lt;extend&gt;&gt;</w:t>
      </w:r>
      <w:r>
        <w:rPr>
          <w:rFonts w:ascii="Times New Roman" w:hAnsi="Times New Roman"/>
          <w:i w:val="0"/>
          <w:sz w:val="24"/>
        </w:rPr>
        <w:t xml:space="preserve"> — fully intact.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5339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9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i/>
          <w:sz w:val="21"/>
        </w:rPr>
        <w:t>Fig. A.1 — Use case diagram: actors, core use cases, and include/extend relationships.</w:t>
      </w:r>
    </w:p>
    <w:p>
      <w:pPr>
        <w:spacing w:before="240" w:after="80" w:line="240" w:lineRule="auto"/>
      </w:pPr>
      <w:r>
        <w:rPr>
          <w:rFonts w:ascii="Times New Roman" w:hAnsi="Times New Roman"/>
          <w:b/>
          <w:i/>
          <w:sz w:val="26"/>
        </w:rPr>
        <w:t>Design decisions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 xml:space="preserve">One actor, not two. </w:t>
      </w:r>
      <w:r>
        <w:rPr>
          <w:rFonts w:ascii="Consolas" w:hAnsi="Consolas"/>
          <w:sz w:val="21"/>
        </w:rPr>
        <w:t>StaffUser.role</w:t>
      </w:r>
      <w:r>
        <w:rPr>
          <w:rFonts w:ascii="Times New Roman" w:hAnsi="Times New Roman"/>
          <w:sz w:val="24"/>
        </w:rPr>
        <w:t xml:space="preserve"> distinguishes </w:t>
      </w:r>
      <w:r>
        <w:rPr>
          <w:rFonts w:ascii="Consolas" w:hAnsi="Consolas"/>
          <w:sz w:val="21"/>
        </w:rPr>
        <w:t>ADMIN</w:t>
      </w:r>
      <w:r>
        <w:rPr>
          <w:rFonts w:ascii="Times New Roman" w:hAnsi="Times New Roman"/>
          <w:sz w:val="24"/>
        </w:rPr>
        <w:t xml:space="preserve"> from </w:t>
      </w:r>
      <w:r>
        <w:rPr>
          <w:rFonts w:ascii="Consolas" w:hAnsi="Consolas"/>
          <w:sz w:val="21"/>
        </w:rPr>
        <w:t>STAFF</w:t>
      </w:r>
      <w:r>
        <w:rPr>
          <w:rFonts w:ascii="Times New Roman" w:hAnsi="Times New Roman"/>
          <w:sz w:val="24"/>
        </w:rPr>
        <w:t xml:space="preserve"> in the data model, but every implemented endpoint grants both roles identical access. Drawing separate Administrator/Reception actors with different use cases would overstate what the system actually enforces, so both are represented as a single Staff Member actor. The role field is retained as a foundation for a future authorization rule, not a fiction the diagram invents.</w:t>
      </w:r>
    </w:p>
    <w:p>
      <w:pPr>
        <w:pStyle w:val="ListBullet"/>
        <w:spacing w:after="80"/>
      </w:pPr>
      <w:r>
        <w:rPr>
          <w:rFonts w:ascii="Consolas" w:hAnsi="Consolas"/>
          <w:sz w:val="21"/>
        </w:rPr>
        <w:t>&lt;&lt;include&gt;&gt;</w:t>
      </w:r>
      <w:r>
        <w:rPr>
          <w:rFonts w:ascii="Times New Roman" w:hAnsi="Times New Roman"/>
          <w:sz w:val="24"/>
        </w:rPr>
        <w:t xml:space="preserve"> Login on every core function. This encodes the brief's requirement directly — “only authorized staff can use the system” — as one reusable precondition rather than repeating an authentication description inside five separate use cases.</w:t>
      </w:r>
    </w:p>
    <w:p>
      <w:pPr>
        <w:pStyle w:val="ListBullet"/>
        <w:spacing w:after="80"/>
      </w:pPr>
      <w:r>
        <w:rPr>
          <w:rFonts w:ascii="Consolas" w:hAnsi="Consolas"/>
          <w:sz w:val="21"/>
        </w:rPr>
        <w:t>&lt;&lt;include&gt;&gt;</w:t>
      </w:r>
      <w:r>
        <w:rPr>
          <w:rFonts w:ascii="Times New Roman" w:hAnsi="Times New Roman"/>
          <w:sz w:val="24"/>
        </w:rPr>
        <w:t xml:space="preserve"> Check Dentist Availability. Modelled as its own use case because it is independently enforced twice in the implementation: a service-layer check before saving, and a </w:t>
      </w:r>
      <w:r>
        <w:rPr>
          <w:rFonts w:ascii="Consolas" w:hAnsi="Consolas"/>
          <w:sz w:val="21"/>
        </w:rPr>
        <w:t>UNIQUE(dentist_id, appointment_date, appointment_time)</w:t>
      </w:r>
      <w:r>
        <w:rPr>
          <w:rFonts w:ascii="Times New Roman" w:hAnsi="Times New Roman"/>
          <w:sz w:val="24"/>
        </w:rPr>
        <w:t xml:space="preserve"> constraint in PostgreSQL as a safety net. This directly answers the scenario's stated pain point of double bookings.</w:t>
      </w:r>
    </w:p>
    <w:p>
      <w:pPr>
        <w:pStyle w:val="ListBullet"/>
        <w:spacing w:after="80"/>
      </w:pPr>
      <w:r>
        <w:rPr>
          <w:rFonts w:ascii="Consolas" w:hAnsi="Consolas"/>
          <w:sz w:val="21"/>
        </w:rPr>
        <w:t>&lt;&lt;extend&gt;&gt;</w:t>
      </w:r>
      <w:r>
        <w:rPr>
          <w:rFonts w:ascii="Times New Roman" w:hAnsi="Times New Roman"/>
          <w:sz w:val="24"/>
        </w:rPr>
        <w:t xml:space="preserve"> Print / Save Receipt. Printing is an optional continuation of billing, not a mandatory step — staff can calculate and view a bill without sending it to a printer — so it extends rather than includes, and it is the one use case with a genuine external secondary actor (the printer).</w:t>
      </w:r>
    </w:p>
    <w:p>
      <w:r>
        <w:br w:type="page"/>
      </w:r>
    </w:p>
    <w:p>
      <w:pPr>
        <w:spacing w:before="360" w:after="160" w:line="240" w:lineRule="auto"/>
      </w:pPr>
      <w:r>
        <w:rPr>
          <w:rFonts w:ascii="Times New Roman" w:hAnsi="Times New Roman"/>
          <w:b/>
          <w:color w:val="0E5C5B"/>
          <w:sz w:val="28"/>
        </w:rPr>
        <w:t xml:space="preserve">A.2  </w:t>
      </w:r>
      <w:r>
        <w:rPr>
          <w:rFonts w:ascii="Times New Roman" w:hAnsi="Times New Roman"/>
          <w:b/>
          <w:sz w:val="28"/>
        </w:rPr>
        <w:t>Class Diagram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>The diagram covers the persistent domain model and the service-layer classes that carry the design patterns required by Task B, so the two deliverables describe the same system rather than two different ones.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74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i/>
          <w:sz w:val="21"/>
        </w:rPr>
        <w:t>Fig. A.2 — Class diagram: domain entities plus the Strategy, Factory, Singleton and Observer collaborators.</w:t>
      </w:r>
    </w:p>
    <w:p>
      <w:pPr>
        <w:spacing w:before="240" w:after="80" w:line="240" w:lineRule="auto"/>
      </w:pPr>
      <w:r>
        <w:rPr>
          <w:rFonts w:ascii="Times New Roman" w:hAnsi="Times New Roman"/>
          <w:b/>
          <w:i/>
          <w:sz w:val="26"/>
        </w:rPr>
        <w:t>Design decisions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 xml:space="preserve">Normalised domain model, not flattened fields. The brief lists patient/appointment fields together, but they are modelled as separate </w:t>
      </w:r>
      <w:r>
        <w:rPr>
          <w:rFonts w:ascii="Consolas" w:hAnsi="Consolas"/>
          <w:sz w:val="21"/>
        </w:rPr>
        <w:t>Patient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/>
          <w:sz w:val="21"/>
        </w:rPr>
        <w:t>Dentist</w:t>
      </w:r>
      <w:r>
        <w:rPr>
          <w:rFonts w:ascii="Times New Roman" w:hAnsi="Times New Roman"/>
          <w:sz w:val="24"/>
        </w:rPr>
        <w:t xml:space="preserve">, and </w:t>
      </w:r>
      <w:r>
        <w:rPr>
          <w:rFonts w:ascii="Consolas" w:hAnsi="Consolas"/>
          <w:sz w:val="21"/>
        </w:rPr>
        <w:t>TreatmentType</w:t>
      </w:r>
      <w:r>
        <w:rPr>
          <w:rFonts w:ascii="Times New Roman" w:hAnsi="Times New Roman"/>
          <w:sz w:val="24"/>
        </w:rPr>
        <w:t xml:space="preserve"> entities related to </w:t>
      </w:r>
      <w:r>
        <w:rPr>
          <w:rFonts w:ascii="Consolas" w:hAnsi="Consolas"/>
          <w:sz w:val="21"/>
        </w:rPr>
        <w:t>Appointment</w:t>
      </w:r>
      <w:r>
        <w:rPr>
          <w:rFonts w:ascii="Times New Roman" w:hAnsi="Times New Roman"/>
          <w:sz w:val="24"/>
        </w:rPr>
        <w:t>, so one patient's repeat visits share a single record instead of re-entering their details every time — closer to how a real clinic's register works, and it is what makes the reporting and billing features possible without duplicate data.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 xml:space="preserve">Composition: </w:t>
      </w:r>
      <w:r>
        <w:rPr>
          <w:rFonts w:ascii="Consolas" w:hAnsi="Consolas"/>
          <w:sz w:val="21"/>
        </w:rPr>
        <w:t>Appointment *-- Bill</w:t>
      </w:r>
      <w:r>
        <w:rPr>
          <w:rFonts w:ascii="Times New Roman" w:hAnsi="Times New Roman"/>
          <w:sz w:val="24"/>
        </w:rPr>
        <w:t>. A bill has no independent existence — it is created from, keyed to (UNIQUE foreign key), and conceptually owned by exactly one appointment. This is a stronger relationship than the plain associations to Patient/Dentist/TreatmentType, which is why it is drawn as composition rather than association.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 xml:space="preserve">Aggregation for the pattern collaborators. </w:t>
      </w:r>
      <w:r>
        <w:rPr>
          <w:rFonts w:ascii="Consolas" w:hAnsi="Consolas"/>
          <w:sz w:val="21"/>
        </w:rPr>
        <w:t>BillingStrategyFactory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Consolas" w:hAnsi="Consolas"/>
          <w:sz w:val="21"/>
        </w:rPr>
        <w:t>AppointmentEventPublisher</w:t>
      </w:r>
      <w:r>
        <w:rPr>
          <w:rFonts w:ascii="Times New Roman" w:hAnsi="Times New Roman"/>
          <w:sz w:val="24"/>
        </w:rPr>
        <w:t xml:space="preserve"> each hold a collection of interchangeable implementations they use but do not exclusively own — Spring manages the actual bean lifecycle. That “uses, doesn't own” relationship is exactly what aggregation (open diamond) expresses, in contrast to the composition used for Bill.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 xml:space="preserve">Patterns are visible as structure, not just labels. Strategy and Factory appear as the </w:t>
      </w:r>
      <w:r>
        <w:rPr>
          <w:rFonts w:ascii="Consolas" w:hAnsi="Consolas"/>
          <w:sz w:val="21"/>
        </w:rPr>
        <w:t>BillingStrategy</w:t>
      </w:r>
      <w:r>
        <w:rPr>
          <w:rFonts w:ascii="Times New Roman" w:hAnsi="Times New Roman"/>
          <w:sz w:val="24"/>
        </w:rPr>
        <w:t xml:space="preserve"> hierarchy plus </w:t>
      </w:r>
      <w:r>
        <w:rPr>
          <w:rFonts w:ascii="Consolas" w:hAnsi="Consolas"/>
          <w:sz w:val="21"/>
        </w:rPr>
        <w:t>BillingStrategyFactory</w:t>
      </w:r>
      <w:r>
        <w:rPr>
          <w:rFonts w:ascii="Times New Roman" w:hAnsi="Times New Roman"/>
          <w:sz w:val="24"/>
        </w:rPr>
        <w:t xml:space="preserve">; Observer appears as </w:t>
      </w:r>
      <w:r>
        <w:rPr>
          <w:rFonts w:ascii="Consolas" w:hAnsi="Consolas"/>
          <w:sz w:val="21"/>
        </w:rPr>
        <w:t>AppointmentObserver</w:t>
      </w:r>
      <w:r>
        <w:rPr>
          <w:rFonts w:ascii="Times New Roman" w:hAnsi="Times New Roman"/>
          <w:sz w:val="24"/>
        </w:rPr>
        <w:t xml:space="preserve"> plus </w:t>
      </w:r>
      <w:r>
        <w:rPr>
          <w:rFonts w:ascii="Consolas" w:hAnsi="Consolas"/>
          <w:sz w:val="21"/>
        </w:rPr>
        <w:t>AppointmentEventPublisher</w:t>
      </w:r>
      <w:r>
        <w:rPr>
          <w:rFonts w:ascii="Times New Roman" w:hAnsi="Times New Roman"/>
          <w:sz w:val="24"/>
        </w:rPr>
        <w:t xml:space="preserve">; Singleton is marked directly on </w:t>
      </w:r>
      <w:r>
        <w:rPr>
          <w:rFonts w:ascii="Consolas" w:hAnsi="Consolas"/>
          <w:sz w:val="21"/>
        </w:rPr>
        <w:t>AppointmentNumberGenerator</w:t>
      </w:r>
      <w:r>
        <w:rPr>
          <w:rFonts w:ascii="Times New Roman" w:hAnsi="Times New Roman"/>
          <w:sz w:val="24"/>
        </w:rPr>
        <w:t xml:space="preserve"> with its static self-reference and static accessor. The Builder pattern used by </w:t>
      </w:r>
      <w:r>
        <w:rPr>
          <w:rFonts w:ascii="Consolas" w:hAnsi="Consolas"/>
          <w:sz w:val="21"/>
        </w:rPr>
        <w:t>Appointment</w:t>
      </w:r>
      <w:r>
        <w:rPr>
          <w:rFonts w:ascii="Times New Roman" w:hAnsi="Times New Roman"/>
          <w:sz w:val="24"/>
        </w:rPr>
        <w:t xml:space="preserve"> is represented by its static </w:t>
      </w:r>
      <w:r>
        <w:rPr>
          <w:rFonts w:ascii="Consolas" w:hAnsi="Consolas"/>
          <w:sz w:val="21"/>
        </w:rPr>
        <w:t>builder()</w:t>
      </w:r>
      <w:r>
        <w:rPr>
          <w:rFonts w:ascii="Times New Roman" w:hAnsi="Times New Roman"/>
          <w:sz w:val="24"/>
        </w:rPr>
        <w:t xml:space="preserve"> method rather than a fully expanded nested Builder class, to keep the diagram legible — the full implementation is in the source and discussed in the Task B write-up.</w:t>
      </w:r>
    </w:p>
    <w:p>
      <w:r>
        <w:br w:type="page"/>
      </w:r>
    </w:p>
    <w:p>
      <w:pPr>
        <w:spacing w:before="360" w:after="160" w:line="240" w:lineRule="auto"/>
      </w:pPr>
      <w:r>
        <w:rPr>
          <w:rFonts w:ascii="Times New Roman" w:hAnsi="Times New Roman"/>
          <w:b/>
          <w:color w:val="0E5C5B"/>
          <w:sz w:val="28"/>
        </w:rPr>
        <w:t xml:space="preserve">A.3.1  </w:t>
      </w:r>
      <w:r>
        <w:rPr>
          <w:rFonts w:ascii="Times New Roman" w:hAnsi="Times New Roman"/>
          <w:b/>
          <w:sz w:val="28"/>
        </w:rPr>
        <w:t>Sequence — Register New Appointment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>Chosen because it is the most structurally significant of the six mandatory functions: it exercises validation, the Singleton appointment-number generator, the Builder-constructed entity, persistence, and the Observer notification fan-out in a single flow, and it includes the double-booking rejection path actually enforced by the code rather than only the happy path.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01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i/>
          <w:sz w:val="21"/>
        </w:rPr>
        <w:t>Fig. A.3.1 — Sequence diagram: registering a new appointment, including the double-booking rejection path.</w:t>
      </w:r>
    </w:p>
    <w:p>
      <w:r>
        <w:br w:type="page"/>
      </w:r>
    </w:p>
    <w:p>
      <w:pPr>
        <w:spacing w:before="360" w:after="160" w:line="240" w:lineRule="auto"/>
      </w:pPr>
      <w:r>
        <w:rPr>
          <w:rFonts w:ascii="Times New Roman" w:hAnsi="Times New Roman"/>
          <w:b/>
          <w:color w:val="0E5C5B"/>
          <w:sz w:val="28"/>
        </w:rPr>
        <w:t xml:space="preserve">A.3.2  </w:t>
      </w:r>
      <w:r>
        <w:rPr>
          <w:rFonts w:ascii="Times New Roman" w:hAnsi="Times New Roman"/>
          <w:b/>
          <w:sz w:val="28"/>
        </w:rPr>
        <w:t>Sequence — Display Appointment Details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 xml:space="preserve">The simplest of the three, included to show the read path and the not-found handling that </w:t>
      </w:r>
      <w:r>
        <w:rPr>
          <w:rFonts w:ascii="Consolas" w:hAnsi="Consolas"/>
          <w:sz w:val="21"/>
        </w:rPr>
        <w:t>GlobalExceptionHandler</w:t>
      </w:r>
      <w:r>
        <w:rPr>
          <w:rFonts w:ascii="Times New Roman" w:hAnsi="Times New Roman"/>
          <w:i w:val="0"/>
          <w:sz w:val="24"/>
        </w:rPr>
        <w:t xml:space="preserve"> converts into a proper HTTP 404 rather than a raw stack trace reaching the client.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81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i/>
          <w:sz w:val="21"/>
        </w:rPr>
        <w:t>Fig. A.3.2 — Sequence diagram: searching for an appointment by its number.</w:t>
      </w:r>
    </w:p>
    <w:p>
      <w:r>
        <w:br w:type="page"/>
      </w:r>
    </w:p>
    <w:p>
      <w:pPr>
        <w:spacing w:before="360" w:after="160" w:line="240" w:lineRule="auto"/>
      </w:pPr>
      <w:r>
        <w:rPr>
          <w:rFonts w:ascii="Times New Roman" w:hAnsi="Times New Roman"/>
          <w:b/>
          <w:color w:val="0E5C5B"/>
          <w:sz w:val="28"/>
        </w:rPr>
        <w:t xml:space="preserve">A.3.3  </w:t>
      </w:r>
      <w:r>
        <w:rPr>
          <w:rFonts w:ascii="Times New Roman" w:hAnsi="Times New Roman"/>
          <w:b/>
          <w:sz w:val="28"/>
        </w:rPr>
        <w:t>Sequence — Calculate and Print Bill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>Shows the Strategy/Factory pattern resolving a treatment-specific pricing rule at runtime, the idempotent branch that returns an already-generated bill instead of duplicating it, and the client-side print/save fallback.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60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bi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i/>
          <w:sz w:val="21"/>
        </w:rPr>
        <w:t>Fig. A.3.3 — Sequence diagram: calculating, generating, and printing a bill.</w:t>
      </w:r>
    </w:p>
    <w:p>
      <w:r>
        <w:br w:type="page"/>
      </w:r>
    </w:p>
    <w:p>
      <w:pPr>
        <w:spacing w:before="360" w:after="160" w:line="240" w:lineRule="auto"/>
      </w:pPr>
      <w:r>
        <w:rPr>
          <w:rFonts w:ascii="Times New Roman" w:hAnsi="Times New Roman"/>
          <w:b/>
          <w:color w:val="0E5C5B"/>
          <w:sz w:val="28"/>
        </w:rPr>
        <w:t xml:space="preserve">A.4  </w:t>
      </w:r>
      <w:r>
        <w:rPr>
          <w:rFonts w:ascii="Times New Roman" w:hAnsi="Times New Roman"/>
          <w:b/>
          <w:sz w:val="28"/>
        </w:rPr>
        <w:t>Assumptions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>The brief invites necessary assumptions on design and access, provided they are explained. These are the ones that shape the diagrams above.</w:t>
      </w:r>
    </w:p>
    <w:p>
      <w:pPr>
        <w:spacing w:before="240" w:after="80" w:line="240" w:lineRule="auto"/>
      </w:pPr>
      <w:r>
        <w:rPr>
          <w:rFonts w:ascii="Times New Roman" w:hAnsi="Times New Roman"/>
          <w:b/>
          <w:i/>
          <w:sz w:val="26"/>
        </w:rPr>
        <w:t>Access model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 xml:space="preserve">A single Staff actor covers both </w:t>
      </w:r>
      <w:r>
        <w:rPr>
          <w:rFonts w:ascii="Consolas" w:hAnsi="Consolas"/>
          <w:sz w:val="21"/>
        </w:rPr>
        <w:t>ADMIN</w:t>
      </w:r>
      <w:r>
        <w:rPr>
          <w:rFonts w:ascii="Times New Roman" w:hAnsi="Times New Roman"/>
          <w:i w:val="0"/>
          <w:sz w:val="24"/>
        </w:rPr>
        <w:t xml:space="preserve"> and </w:t>
      </w:r>
      <w:r>
        <w:rPr>
          <w:rFonts w:ascii="Consolas" w:hAnsi="Consolas"/>
          <w:sz w:val="21"/>
        </w:rPr>
        <w:t>STAFF</w:t>
      </w:r>
      <w:r>
        <w:rPr>
          <w:rFonts w:ascii="Times New Roman" w:hAnsi="Times New Roman"/>
          <w:i w:val="0"/>
          <w:sz w:val="24"/>
        </w:rPr>
        <w:t xml:space="preserve"> accounts for this iteration. The role is stored and available for a future authorization rule (e.g. restricting reference-data management such as dentist or pricing edits to </w:t>
      </w:r>
      <w:r>
        <w:rPr>
          <w:rFonts w:ascii="Consolas" w:hAnsi="Consolas"/>
          <w:sz w:val="21"/>
        </w:rPr>
        <w:t>ADMIN</w:t>
      </w:r>
      <w:r>
        <w:rPr>
          <w:rFonts w:ascii="Times New Roman" w:hAnsi="Times New Roman"/>
          <w:i w:val="0"/>
          <w:sz w:val="24"/>
        </w:rPr>
        <w:t>), but no endpoint currently differentiates behaviour by role, so the use case diagram does not invent a permission split the system doesn't enforce.</w:t>
      </w:r>
    </w:p>
    <w:p>
      <w:pPr>
        <w:spacing w:before="240" w:after="80" w:line="240" w:lineRule="auto"/>
      </w:pPr>
      <w:r>
        <w:rPr>
          <w:rFonts w:ascii="Times New Roman" w:hAnsi="Times New Roman"/>
          <w:b/>
          <w:i/>
          <w:sz w:val="26"/>
        </w:rPr>
        <w:t>Patient matching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>A returning patient is matched by exact name + contact number rather than a separate “search existing patient” step, keeping registration to the single form implied by the brief's field list. A production system would need a more robust deduplication strategy (e.g. NIC number, fuzzy name matching) — noted here as a deliberate simplification, not an oversight.</w:t>
      </w:r>
    </w:p>
    <w:p>
      <w:pPr>
        <w:spacing w:before="240" w:after="80" w:line="240" w:lineRule="auto"/>
      </w:pPr>
      <w:r>
        <w:rPr>
          <w:rFonts w:ascii="Times New Roman" w:hAnsi="Times New Roman"/>
          <w:b/>
          <w:i/>
          <w:sz w:val="26"/>
        </w:rPr>
        <w:t>Billing trigger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 xml:space="preserve">The brief does not describe a separate “treatment completed” step, so a bill is generated on demand from the appointment number, and generating it is what transitions the appointment's status to </w:t>
      </w:r>
      <w:r>
        <w:rPr>
          <w:rFonts w:ascii="Consolas" w:hAnsi="Consolas"/>
          <w:sz w:val="21"/>
        </w:rPr>
        <w:t>COMPLETED</w:t>
      </w:r>
      <w:r>
        <w:rPr>
          <w:rFonts w:ascii="Times New Roman" w:hAnsi="Times New Roman"/>
          <w:i w:val="0"/>
          <w:sz w:val="24"/>
        </w:rPr>
        <w:t>.</w:t>
      </w:r>
    </w:p>
    <w:p>
      <w:pPr>
        <w:spacing w:before="240" w:after="80" w:line="240" w:lineRule="auto"/>
      </w:pPr>
      <w:r>
        <w:rPr>
          <w:rFonts w:ascii="Times New Roman" w:hAnsi="Times New Roman"/>
          <w:b/>
          <w:i/>
          <w:sz w:val="26"/>
        </w:rPr>
        <w:t>Web services</w:t>
      </w:r>
    </w:p>
    <w:p>
      <w:pPr>
        <w:spacing w:after="120"/>
      </w:pPr>
      <w:r>
        <w:rPr>
          <w:rFonts w:ascii="Times New Roman" w:hAnsi="Times New Roman"/>
          <w:i w:val="0"/>
          <w:sz w:val="24"/>
        </w:rPr>
        <w:t>Task B's “distributed application with web services” requirement is met with a REST/JSON API (Spring Boot) consumed by a separate JavaFX desktop process over HTTP — an industry-standard choice over SOAP or RMI, justified further in the Task B report.</w:t>
      </w:r>
    </w:p>
    <w:sectPr w:rsidR="00FC693F" w:rsidRPr="0006063C" w:rsidSect="00034616">
      <w:footerReference w:type="default" r:id="rId9"/>
      <w:pgSz w:w="11909" w:h="16834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