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76A9" w14:textId="77777777" w:rsidR="008D566C" w:rsidRPr="00A7498E" w:rsidRDefault="00B747A8">
      <w:pPr>
        <w:spacing w:line="259" w:lineRule="auto"/>
        <w:jc w:val="center"/>
        <w:rPr>
          <w:rFonts w:ascii="Calibri" w:eastAsia="Calibri" w:hAnsi="Calibri" w:cs="Calibri"/>
          <w:b/>
          <w:sz w:val="24"/>
          <w:szCs w:val="24"/>
        </w:rPr>
      </w:pPr>
      <w:r w:rsidRPr="00A7498E">
        <w:rPr>
          <w:rFonts w:ascii="Calibri" w:eastAsia="Calibri" w:hAnsi="Calibri" w:cs="Calibri"/>
          <w:b/>
          <w:sz w:val="24"/>
          <w:szCs w:val="24"/>
        </w:rPr>
        <w:t>Project Design Phase</w:t>
      </w:r>
    </w:p>
    <w:p w14:paraId="678BEBC3" w14:textId="74B0442A" w:rsidR="008D566C" w:rsidRPr="00B747A8" w:rsidRDefault="00B747A8">
      <w:pPr>
        <w:spacing w:line="259" w:lineRule="auto"/>
        <w:jc w:val="center"/>
        <w:rPr>
          <w:rFonts w:ascii="Calibri" w:eastAsia="Calibri" w:hAnsi="Calibri" w:cs="Calibri"/>
          <w:b/>
          <w:sz w:val="24"/>
          <w:szCs w:val="24"/>
        </w:rPr>
      </w:pPr>
      <w:r w:rsidRPr="00B747A8">
        <w:rPr>
          <w:rFonts w:ascii="Calibri" w:eastAsia="Calibri" w:hAnsi="Calibri" w:cs="Calibri"/>
          <w:b/>
          <w:sz w:val="24"/>
          <w:szCs w:val="24"/>
        </w:rPr>
        <w:t>Proposed Solution</w:t>
      </w:r>
    </w:p>
    <w:p w14:paraId="7DE084C8" w14:textId="77777777" w:rsidR="008D566C" w:rsidRPr="00B747A8" w:rsidRDefault="008D566C">
      <w:pPr>
        <w:spacing w:line="259" w:lineRule="auto"/>
        <w:jc w:val="center"/>
        <w:rPr>
          <w:rFonts w:ascii="Calibri" w:eastAsia="Calibri" w:hAnsi="Calibri" w:cs="Calibri"/>
          <w:b/>
          <w:sz w:val="24"/>
          <w:szCs w:val="24"/>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D566C" w:rsidRPr="00B747A8" w14:paraId="47D02793" w14:textId="77777777">
        <w:tc>
          <w:tcPr>
            <w:tcW w:w="4695" w:type="dxa"/>
          </w:tcPr>
          <w:p w14:paraId="2952F0E8"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Date</w:t>
            </w:r>
          </w:p>
        </w:tc>
        <w:tc>
          <w:tcPr>
            <w:tcW w:w="4335" w:type="dxa"/>
          </w:tcPr>
          <w:p w14:paraId="6DF0BEAF" w14:textId="4EE2619F"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2-01-2026</w:t>
            </w:r>
          </w:p>
        </w:tc>
      </w:tr>
      <w:tr w:rsidR="008D566C" w:rsidRPr="00B747A8" w14:paraId="2ACDC0FF" w14:textId="77777777">
        <w:tc>
          <w:tcPr>
            <w:tcW w:w="4695" w:type="dxa"/>
          </w:tcPr>
          <w:p w14:paraId="178B10BD"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Team ID</w:t>
            </w:r>
          </w:p>
        </w:tc>
        <w:tc>
          <w:tcPr>
            <w:tcW w:w="4335" w:type="dxa"/>
          </w:tcPr>
          <w:p w14:paraId="4D0DF06F" w14:textId="77777777" w:rsidR="008D566C" w:rsidRPr="00B747A8" w:rsidRDefault="008D566C">
            <w:pPr>
              <w:rPr>
                <w:rFonts w:ascii="Calibri" w:eastAsia="Calibri" w:hAnsi="Calibri" w:cs="Calibri"/>
                <w:sz w:val="24"/>
                <w:szCs w:val="24"/>
              </w:rPr>
            </w:pPr>
          </w:p>
        </w:tc>
      </w:tr>
      <w:tr w:rsidR="008D566C" w:rsidRPr="00B747A8" w14:paraId="4E2F80CA" w14:textId="77777777">
        <w:tc>
          <w:tcPr>
            <w:tcW w:w="4695" w:type="dxa"/>
          </w:tcPr>
          <w:p w14:paraId="3271B4FA"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Project Name</w:t>
            </w:r>
          </w:p>
        </w:tc>
        <w:tc>
          <w:tcPr>
            <w:tcW w:w="4335" w:type="dxa"/>
          </w:tcPr>
          <w:p w14:paraId="4F38B974" w14:textId="3A584F17" w:rsidR="008D566C" w:rsidRPr="00A7498E" w:rsidRDefault="00A7498E">
            <w:pPr>
              <w:rPr>
                <w:rFonts w:ascii="Calibri" w:eastAsia="Calibri" w:hAnsi="Calibri" w:cs="Calibri"/>
                <w:sz w:val="24"/>
                <w:szCs w:val="24"/>
              </w:rPr>
            </w:pPr>
            <w:r w:rsidRPr="00A7498E">
              <w:rPr>
                <w:rFonts w:ascii="Calibri" w:eastAsia="Calibri" w:hAnsi="Calibri" w:cs="Calibri"/>
                <w:sz w:val="24"/>
                <w:szCs w:val="24"/>
                <w:lang w:val="en-IN"/>
              </w:rPr>
              <w:t>SuperBuy – E-Commerce Platform</w:t>
            </w:r>
          </w:p>
        </w:tc>
      </w:tr>
      <w:tr w:rsidR="008D566C" w:rsidRPr="00B747A8" w14:paraId="0825A34A" w14:textId="77777777">
        <w:tc>
          <w:tcPr>
            <w:tcW w:w="4695" w:type="dxa"/>
          </w:tcPr>
          <w:p w14:paraId="0F6CA392"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Maximum Marks</w:t>
            </w:r>
          </w:p>
        </w:tc>
        <w:tc>
          <w:tcPr>
            <w:tcW w:w="4335" w:type="dxa"/>
          </w:tcPr>
          <w:p w14:paraId="55CBD7E1" w14:textId="77777777" w:rsidR="008D566C" w:rsidRPr="00B747A8" w:rsidRDefault="00B747A8">
            <w:pPr>
              <w:rPr>
                <w:rFonts w:ascii="Calibri" w:eastAsia="Calibri" w:hAnsi="Calibri" w:cs="Calibri"/>
                <w:sz w:val="24"/>
                <w:szCs w:val="24"/>
              </w:rPr>
            </w:pPr>
            <w:r w:rsidRPr="00B747A8">
              <w:rPr>
                <w:rFonts w:ascii="Calibri" w:eastAsia="Calibri" w:hAnsi="Calibri" w:cs="Calibri"/>
                <w:sz w:val="24"/>
                <w:szCs w:val="24"/>
              </w:rPr>
              <w:t>2 Marks</w:t>
            </w:r>
          </w:p>
        </w:tc>
      </w:tr>
    </w:tbl>
    <w:p w14:paraId="78A28586" w14:textId="0B53FB74" w:rsidR="00A7498E" w:rsidRPr="00A7498E" w:rsidRDefault="00A7498E" w:rsidP="00A7498E">
      <w:pPr>
        <w:spacing w:after="160" w:line="259" w:lineRule="auto"/>
        <w:rPr>
          <w:rFonts w:ascii="Calibri" w:eastAsia="Calibri" w:hAnsi="Calibri" w:cs="Calibri"/>
          <w:sz w:val="24"/>
          <w:szCs w:val="24"/>
          <w:lang w:val="en-IN"/>
        </w:rPr>
      </w:pPr>
      <w:r>
        <w:rPr>
          <w:rFonts w:ascii="Calibri" w:eastAsia="Calibri" w:hAnsi="Calibri" w:cs="Calibri"/>
          <w:sz w:val="24"/>
          <w:szCs w:val="24"/>
          <w:lang w:val="en-IN"/>
        </w:rPr>
        <w:pict w14:anchorId="09B0AC6D">
          <v:rect id="_x0000_i1025" style="width:0;height:1.5pt" o:hralign="center" o:hrstd="t" o:hr="t" fillcolor="#a0a0a0" stroked="f"/>
        </w:pict>
      </w:r>
    </w:p>
    <w:p w14:paraId="0DE94BBC"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t>Proposed Solution for SuperBuy</w:t>
      </w:r>
    </w:p>
    <w:tbl>
      <w:tblPr>
        <w:tblStyle w:val="TableGrid"/>
        <w:tblW w:w="0" w:type="auto"/>
        <w:tblLook w:val="04A0" w:firstRow="1" w:lastRow="0" w:firstColumn="1" w:lastColumn="0" w:noHBand="0" w:noVBand="1"/>
      </w:tblPr>
      <w:tblGrid>
        <w:gridCol w:w="604"/>
        <w:gridCol w:w="1828"/>
        <w:gridCol w:w="6587"/>
      </w:tblGrid>
      <w:tr w:rsidR="00A7498E" w:rsidRPr="00A7498E" w14:paraId="3E716ED5" w14:textId="77777777" w:rsidTr="00A7498E">
        <w:tc>
          <w:tcPr>
            <w:tcW w:w="0" w:type="auto"/>
            <w:hideMark/>
          </w:tcPr>
          <w:p w14:paraId="4A0B2E0F"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t>S. No.</w:t>
            </w:r>
          </w:p>
        </w:tc>
        <w:tc>
          <w:tcPr>
            <w:tcW w:w="0" w:type="auto"/>
            <w:hideMark/>
          </w:tcPr>
          <w:p w14:paraId="29F2C939"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t>Parameter</w:t>
            </w:r>
          </w:p>
        </w:tc>
        <w:tc>
          <w:tcPr>
            <w:tcW w:w="0" w:type="auto"/>
            <w:hideMark/>
          </w:tcPr>
          <w:p w14:paraId="621E4607"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t>Description</w:t>
            </w:r>
          </w:p>
        </w:tc>
      </w:tr>
      <w:tr w:rsidR="00A7498E" w:rsidRPr="00A7498E" w14:paraId="44D69A09" w14:textId="77777777" w:rsidTr="00A7498E">
        <w:tc>
          <w:tcPr>
            <w:tcW w:w="0" w:type="auto"/>
            <w:hideMark/>
          </w:tcPr>
          <w:p w14:paraId="20B5B7A0"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1</w:t>
            </w:r>
          </w:p>
        </w:tc>
        <w:tc>
          <w:tcPr>
            <w:tcW w:w="0" w:type="auto"/>
            <w:hideMark/>
          </w:tcPr>
          <w:p w14:paraId="76522B38"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Problem Statement (Problem to be Solved)</w:t>
            </w:r>
          </w:p>
        </w:tc>
        <w:tc>
          <w:tcPr>
            <w:tcW w:w="0" w:type="auto"/>
            <w:hideMark/>
          </w:tcPr>
          <w:p w14:paraId="49510917"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Many online shoppers, sellers, and administrators face challenges in managing product discovery, secure transactions, order tracking, and platform management. Existing platforms often lack intuitive navigation, centralized control, and transparency, leading to a poor overall user experience.</w:t>
            </w:r>
          </w:p>
        </w:tc>
      </w:tr>
      <w:tr w:rsidR="00A7498E" w:rsidRPr="00A7498E" w14:paraId="25521C02" w14:textId="77777777" w:rsidTr="00A7498E">
        <w:tc>
          <w:tcPr>
            <w:tcW w:w="0" w:type="auto"/>
            <w:hideMark/>
          </w:tcPr>
          <w:p w14:paraId="77E02D93"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2</w:t>
            </w:r>
          </w:p>
        </w:tc>
        <w:tc>
          <w:tcPr>
            <w:tcW w:w="0" w:type="auto"/>
            <w:hideMark/>
          </w:tcPr>
          <w:p w14:paraId="6E41463A"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Idea / Solution Description</w:t>
            </w:r>
          </w:p>
        </w:tc>
        <w:tc>
          <w:tcPr>
            <w:tcW w:w="0" w:type="auto"/>
            <w:hideMark/>
          </w:tcPr>
          <w:p w14:paraId="59301994"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SuperBuy is a full-stack e-commerce web application developed using a React frontend and a Node.js backend. It enables users to browse and purchase products easily, manage carts and wishlists, and track orders. Sellers can efficiently manage product listings and orders, while administrators monitor platform activity, ensuring security and smooth operations.</w:t>
            </w:r>
          </w:p>
        </w:tc>
      </w:tr>
      <w:tr w:rsidR="00A7498E" w:rsidRPr="00A7498E" w14:paraId="55B94B4A" w14:textId="77777777" w:rsidTr="00A7498E">
        <w:tc>
          <w:tcPr>
            <w:tcW w:w="0" w:type="auto"/>
            <w:hideMark/>
          </w:tcPr>
          <w:p w14:paraId="5A093904"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3</w:t>
            </w:r>
          </w:p>
        </w:tc>
        <w:tc>
          <w:tcPr>
            <w:tcW w:w="0" w:type="auto"/>
            <w:hideMark/>
          </w:tcPr>
          <w:p w14:paraId="2EDD2273"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Novelty / Uniqueness</w:t>
            </w:r>
          </w:p>
        </w:tc>
        <w:tc>
          <w:tcPr>
            <w:tcW w:w="0" w:type="auto"/>
            <w:hideMark/>
          </w:tcPr>
          <w:p w14:paraId="747F6101"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 Role-based access for Users, Sellers, and Admins - Secure authentication using JWT - Simplified cart and checkout system - Centralized dashboards for sellers and administrators - Integrated product management and order tracking</w:t>
            </w:r>
          </w:p>
        </w:tc>
      </w:tr>
      <w:tr w:rsidR="00A7498E" w:rsidRPr="00A7498E" w14:paraId="2619ABBA" w14:textId="77777777" w:rsidTr="00A7498E">
        <w:tc>
          <w:tcPr>
            <w:tcW w:w="0" w:type="auto"/>
            <w:hideMark/>
          </w:tcPr>
          <w:p w14:paraId="408A2D53"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4</w:t>
            </w:r>
          </w:p>
        </w:tc>
        <w:tc>
          <w:tcPr>
            <w:tcW w:w="0" w:type="auto"/>
            <w:hideMark/>
          </w:tcPr>
          <w:p w14:paraId="0FF9A205"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Social Impact / Customer Satisfaction</w:t>
            </w:r>
          </w:p>
        </w:tc>
        <w:tc>
          <w:tcPr>
            <w:tcW w:w="0" w:type="auto"/>
            <w:hideMark/>
          </w:tcPr>
          <w:p w14:paraId="76C95DA0"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 Enhances accessibility to products for all users - Supports small businesses by providing a digital marketplace - Builds user trust through secure transactions and order transparency - Improves digital shopping experience and convenience</w:t>
            </w:r>
          </w:p>
        </w:tc>
      </w:tr>
      <w:tr w:rsidR="00A7498E" w:rsidRPr="00A7498E" w14:paraId="658A911E" w14:textId="77777777" w:rsidTr="00A7498E">
        <w:tc>
          <w:tcPr>
            <w:tcW w:w="0" w:type="auto"/>
            <w:hideMark/>
          </w:tcPr>
          <w:p w14:paraId="41DDC7ED"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5</w:t>
            </w:r>
          </w:p>
        </w:tc>
        <w:tc>
          <w:tcPr>
            <w:tcW w:w="0" w:type="auto"/>
            <w:hideMark/>
          </w:tcPr>
          <w:p w14:paraId="744BA244"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Business Model (Revenue Model)</w:t>
            </w:r>
          </w:p>
        </w:tc>
        <w:tc>
          <w:tcPr>
            <w:tcW w:w="0" w:type="auto"/>
            <w:hideMark/>
          </w:tcPr>
          <w:p w14:paraId="149CFC5F"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 Commission-based revenue on product sales - Featured product listings for sellers - Future premium subscriptions for sellers - Promotional partnerships with brands and vendors</w:t>
            </w:r>
          </w:p>
        </w:tc>
      </w:tr>
      <w:tr w:rsidR="00A7498E" w:rsidRPr="00A7498E" w14:paraId="4193914E" w14:textId="77777777" w:rsidTr="00A7498E">
        <w:tc>
          <w:tcPr>
            <w:tcW w:w="0" w:type="auto"/>
            <w:hideMark/>
          </w:tcPr>
          <w:p w14:paraId="0FEE061E"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6</w:t>
            </w:r>
          </w:p>
        </w:tc>
        <w:tc>
          <w:tcPr>
            <w:tcW w:w="0" w:type="auto"/>
            <w:hideMark/>
          </w:tcPr>
          <w:p w14:paraId="396D54B0"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Scalability of the Solution</w:t>
            </w:r>
          </w:p>
        </w:tc>
        <w:tc>
          <w:tcPr>
            <w:tcW w:w="0" w:type="auto"/>
            <w:hideMark/>
          </w:tcPr>
          <w:p w14:paraId="3256A8B9"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t>- Modular architecture for easy scalability and maintenance - RESTful APIs with MongoDB for efficient data handling - Support for future mobile applications and multilingual content - Potential integration of AI-based recommendations and analytics</w:t>
            </w:r>
          </w:p>
        </w:tc>
      </w:tr>
    </w:tbl>
    <w:p w14:paraId="553A3DD8"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pict w14:anchorId="34C7E46C">
          <v:rect id="_x0000_i1102" style="width:0;height:1.5pt" o:hralign="center" o:hrstd="t" o:hr="t" fillcolor="#a0a0a0" stroked="f"/>
        </w:pict>
      </w:r>
    </w:p>
    <w:p w14:paraId="36635F83"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t>Final Outcome</w:t>
      </w:r>
    </w:p>
    <w:p w14:paraId="1D53E87A" w14:textId="77777777" w:rsidR="00A7498E" w:rsidRPr="00A7498E" w:rsidRDefault="00A7498E" w:rsidP="00A7498E">
      <w:pPr>
        <w:spacing w:after="160" w:line="259" w:lineRule="auto"/>
        <w:rPr>
          <w:rFonts w:ascii="Calibri" w:eastAsia="Calibri" w:hAnsi="Calibri" w:cs="Calibri"/>
          <w:sz w:val="24"/>
          <w:szCs w:val="24"/>
          <w:lang w:val="en-IN"/>
        </w:rPr>
      </w:pPr>
      <w:r w:rsidRPr="00A7498E">
        <w:rPr>
          <w:rFonts w:ascii="Calibri" w:eastAsia="Calibri" w:hAnsi="Calibri" w:cs="Calibri"/>
          <w:sz w:val="24"/>
          <w:szCs w:val="24"/>
          <w:lang w:val="en-IN"/>
        </w:rPr>
        <w:lastRenderedPageBreak/>
        <w:t>The proposed solution ensures that SuperBuy effectively addresses key challenges in modern e-commerce by providing a secure, scalable, and user-friendly platform. The system supports long-term growth, enhances customer satisfaction, and empowers sellers and administrators through efficient management tools.</w:t>
      </w:r>
    </w:p>
    <w:p w14:paraId="370A5987" w14:textId="77777777" w:rsidR="00A7498E" w:rsidRPr="00A7498E" w:rsidRDefault="00A7498E" w:rsidP="00A7498E">
      <w:pPr>
        <w:spacing w:after="160" w:line="259" w:lineRule="auto"/>
        <w:rPr>
          <w:rFonts w:ascii="Calibri" w:eastAsia="Calibri" w:hAnsi="Calibri" w:cs="Calibri"/>
          <w:b/>
          <w:bCs/>
          <w:sz w:val="24"/>
          <w:szCs w:val="24"/>
          <w:lang w:val="en-IN"/>
        </w:rPr>
      </w:pPr>
      <w:r w:rsidRPr="00A7498E">
        <w:rPr>
          <w:rFonts w:ascii="Calibri" w:eastAsia="Calibri" w:hAnsi="Calibri" w:cs="Calibri"/>
          <w:b/>
          <w:bCs/>
          <w:sz w:val="24"/>
          <w:szCs w:val="24"/>
          <w:lang w:val="en-IN"/>
        </w:rPr>
        <w:pict w14:anchorId="7392D86D">
          <v:rect id="_x0000_i1103" style="width:0;height:1.5pt" o:hralign="center" o:hrstd="t" o:hr="t" fillcolor="#a0a0a0" stroked="f"/>
        </w:pict>
      </w:r>
    </w:p>
    <w:p w14:paraId="1AE52DCA" w14:textId="31FC4079" w:rsidR="00B747A8" w:rsidRPr="00B747A8" w:rsidRDefault="00A7498E" w:rsidP="00B747A8">
      <w:pPr>
        <w:spacing w:after="160" w:line="259" w:lineRule="auto"/>
        <w:rPr>
          <w:rFonts w:ascii="Calibri" w:eastAsia="Calibri" w:hAnsi="Calibri" w:cs="Calibri"/>
          <w:sz w:val="24"/>
          <w:szCs w:val="24"/>
          <w:lang w:val="en-IN"/>
        </w:rPr>
      </w:pPr>
      <w:r>
        <w:rPr>
          <w:rFonts w:ascii="Calibri" w:eastAsia="Calibri" w:hAnsi="Calibri" w:cs="Calibri"/>
          <w:sz w:val="24"/>
          <w:szCs w:val="24"/>
          <w:lang w:val="en-IN"/>
        </w:rPr>
        <w:pict w14:anchorId="23FB0C30">
          <v:rect id="_x0000_i1027" style="width:0;height:1.5pt" o:hralign="center" o:hrstd="t" o:hr="t" fillcolor="#a0a0a0" stroked="f"/>
        </w:pict>
      </w:r>
    </w:p>
    <w:sectPr w:rsidR="00B747A8" w:rsidRPr="00B747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66C"/>
    <w:rsid w:val="0014795F"/>
    <w:rsid w:val="00597A82"/>
    <w:rsid w:val="008D566C"/>
    <w:rsid w:val="009A36ED"/>
    <w:rsid w:val="00A0533E"/>
    <w:rsid w:val="00A7498E"/>
    <w:rsid w:val="00B74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B8343B4"/>
  <w15:docId w15:val="{199EE902-CEC8-4C47-A1BB-238F4F31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styleId="TableGrid">
    <w:name w:val="Table Grid"/>
    <w:basedOn w:val="TableNormal"/>
    <w:uiPriority w:val="39"/>
    <w:rsid w:val="00B747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49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4</cp:revision>
  <dcterms:created xsi:type="dcterms:W3CDTF">2026-01-02T10:45:00Z</dcterms:created>
  <dcterms:modified xsi:type="dcterms:W3CDTF">2026-01-02T16:38:00Z</dcterms:modified>
</cp:coreProperties>
</file>