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2233D"/>
          <w:sz w:val="40"/>
          <w:szCs w:val="40"/>
        </w:rPr>
        <w:t xml:space="preserve">STAGE 1 — SKYWATCH</w:t>
      </w:r>
    </w:p>
    <w:p>
      <w:pPr>
        <w:spacing w:after="240"/>
        <w:jc w:val="center"/>
      </w:pPr>
      <w:r>
        <w:rPr>
          <w:color w:val="4A5568"/>
          <w:sz w:val="20"/>
          <w:szCs w:val="20"/>
        </w:rPr>
        <w:t xml:space="preserve">CipherNex-301 CTF  |  Domain: OSINT / Reconnaissance  |  Difficulty: Easy</w:t>
      </w:r>
    </w:p>
    <w:tbl>
      <w:tblPr>
        <w:tblW w:type="dxa" w:w="9350"/>
        <w:tblBorders>
          <w:top w:val="single" w:color="D0D7E2" w:sz="4"/>
          <w:left w:val="single" w:color="D0D7E2" w:sz="4"/>
          <w:bottom w:val="single" w:color="D0D7E2" w:sz="4"/>
          <w:right w:val="single" w:color="D0D7E2" w:sz="4"/>
          <w:insideH w:val="single" w:color="D0D7E2" w:sz="4"/>
          <w:insideV w:val="single" w:color="D0D7E2" w:sz="4"/>
        </w:tblBorders>
      </w:tblPr>
      <w:tblGrid>
        <w:gridCol w:w="2300"/>
        <w:gridCol w:w="2400"/>
        <w:gridCol w:w="2300"/>
        <w:gridCol w:w="2350"/>
      </w:tblGrid>
      <w:tr>
        <w:tc>
          <w:tcPr>
            <w:tcW w:type="dxa" w:w="2300"/>
            <w:shd w:fill="F4F6FA" w:val="clear"/>
            <w:tcMar>
              <w:top w:type="dxa" w:w="100"/>
              <w:left w:type="dxa" w:w="150"/>
              <w:bottom w:type="dxa" w:w="100"/>
              <w:right w:type="dxa" w:w="150"/>
            </w:tcMar>
          </w:tcPr>
          <w:p>
            <w:r>
              <w:rPr>
                <w:b/>
                <w:bCs/>
                <w:sz w:val="18"/>
                <w:szCs w:val="18"/>
              </w:rPr>
              <w:t xml:space="preserve">Stage ID</w:t>
            </w:r>
          </w:p>
        </w:tc>
        <w:tc>
          <w:tcPr>
            <w:tcW w:type="dxa" w:w="2300"/>
            <w:shd w:fill="F4F6FA" w:val="clear"/>
            <w:tcMar>
              <w:top w:type="dxa" w:w="100"/>
              <w:left w:type="dxa" w:w="150"/>
              <w:bottom w:type="dxa" w:w="100"/>
              <w:right w:type="dxa" w:w="150"/>
            </w:tcMar>
          </w:tcPr>
          <w:p>
            <w:r>
              <w:rPr>
                <w:b w:val="false"/>
                <w:bCs w:val="false"/>
                <w:sz w:val="18"/>
                <w:szCs w:val="18"/>
              </w:rPr>
              <w:t xml:space="preserve">STG-01</w:t>
            </w:r>
          </w:p>
        </w:tc>
        <w:tc>
          <w:tcPr>
            <w:tcW w:type="dxa" w:w="2300"/>
            <w:shd w:fill="F4F6FA" w:val="clear"/>
            <w:tcMar>
              <w:top w:type="dxa" w:w="100"/>
              <w:left w:type="dxa" w:w="150"/>
              <w:bottom w:type="dxa" w:w="100"/>
              <w:right w:type="dxa" w:w="150"/>
            </w:tcMar>
          </w:tcPr>
          <w:p>
            <w:r>
              <w:rPr>
                <w:b/>
                <w:bCs/>
                <w:sz w:val="18"/>
                <w:szCs w:val="18"/>
              </w:rPr>
              <w:t xml:space="preserve">Points</w:t>
            </w:r>
          </w:p>
        </w:tc>
        <w:tc>
          <w:tcPr>
            <w:tcW w:type="dxa" w:w="2300"/>
            <w:shd w:fill="F4F6FA" w:val="clear"/>
            <w:tcMar>
              <w:top w:type="dxa" w:w="100"/>
              <w:left w:type="dxa" w:w="150"/>
              <w:bottom w:type="dxa" w:w="100"/>
              <w:right w:type="dxa" w:w="150"/>
            </w:tcMar>
          </w:tcPr>
          <w:p>
            <w:r>
              <w:rPr>
                <w:b w:val="false"/>
                <w:bCs w:val="false"/>
                <w:sz w:val="18"/>
                <w:szCs w:val="18"/>
              </w:rPr>
              <w:t xml:space="preserve">100</w:t>
            </w:r>
          </w:p>
        </w:tc>
      </w:tr>
      <w:tr>
        <w:tc>
          <w:tcPr>
            <w:tcW w:type="dxa" w:w="2300"/>
            <w:shd w:fill="F4F6FA" w:val="clear"/>
            <w:tcMar>
              <w:top w:type="dxa" w:w="100"/>
              <w:left w:type="dxa" w:w="150"/>
              <w:bottom w:type="dxa" w:w="100"/>
              <w:right w:type="dxa" w:w="150"/>
            </w:tcMar>
          </w:tcPr>
          <w:p>
            <w:r>
              <w:rPr>
                <w:b/>
                <w:bCs/>
                <w:sz w:val="18"/>
                <w:szCs w:val="18"/>
              </w:rPr>
              <w:t xml:space="preserve">Domain</w:t>
            </w:r>
          </w:p>
        </w:tc>
        <w:tc>
          <w:tcPr>
            <w:tcW w:type="dxa" w:w="2300"/>
            <w:shd w:fill="F4F6FA" w:val="clear"/>
            <w:tcMar>
              <w:top w:type="dxa" w:w="100"/>
              <w:left w:type="dxa" w:w="150"/>
              <w:bottom w:type="dxa" w:w="100"/>
              <w:right w:type="dxa" w:w="150"/>
            </w:tcMar>
          </w:tcPr>
          <w:p>
            <w:r>
              <w:rPr>
                <w:b w:val="false"/>
                <w:bCs w:val="false"/>
                <w:sz w:val="18"/>
                <w:szCs w:val="18"/>
              </w:rPr>
              <w:t xml:space="preserve">OSINT / Reconnaissance</w:t>
            </w:r>
          </w:p>
        </w:tc>
        <w:tc>
          <w:tcPr>
            <w:tcW w:type="dxa" w:w="2300"/>
            <w:shd w:fill="F4F6FA" w:val="clear"/>
            <w:tcMar>
              <w:top w:type="dxa" w:w="100"/>
              <w:left w:type="dxa" w:w="150"/>
              <w:bottom w:type="dxa" w:w="100"/>
              <w:right w:type="dxa" w:w="150"/>
            </w:tcMar>
          </w:tcPr>
          <w:p>
            <w:r>
              <w:rPr>
                <w:b/>
                <w:bCs/>
                <w:sz w:val="18"/>
                <w:szCs w:val="18"/>
              </w:rPr>
              <w:t xml:space="preserve">Flag Format</w:t>
            </w:r>
          </w:p>
        </w:tc>
        <w:tc>
          <w:tcPr>
            <w:tcW w:type="dxa" w:w="2300"/>
            <w:shd w:fill="F4F6FA" w:val="clear"/>
            <w:tcMar>
              <w:top w:type="dxa" w:w="100"/>
              <w:left w:type="dxa" w:w="150"/>
              <w:bottom w:type="dxa" w:w="100"/>
              <w:right w:type="dxa" w:w="150"/>
            </w:tcMar>
          </w:tcPr>
          <w:p>
            <w:r>
              <w:rPr>
                <w:b w:val="false"/>
                <w:bCs w:val="false"/>
                <w:sz w:val="18"/>
                <w:szCs w:val="18"/>
              </w:rPr>
              <w:t xml:space="preserve">CIPHERNEX{snake_case_string}</w:t>
            </w:r>
          </w:p>
        </w:tc>
      </w:tr>
    </w:tbl>
    <w:p>
      <w:pPr>
        <w:pStyle w:val="Heading2"/>
        <w:spacing w:after="120" w:before="280"/>
      </w:pPr>
      <w:r>
        <w:rPr>
          <w:b/>
          <w:bCs/>
          <w:color w:val="12233D"/>
          <w:sz w:val="26"/>
          <w:szCs w:val="26"/>
        </w:rPr>
        <w:t xml:space="preserve">SCENARIO</w:t>
      </w:r>
    </w:p>
    <w:p>
      <w:pPr>
        <w:spacing w:after="160"/>
      </w:pPr>
      <w:r>
        <w:rPr>
          <w:sz w:val="20"/>
          <w:szCs w:val="20"/>
        </w:rPr>
        <w:t xml:space="preserve">A decommissioned experimental satellite, CipherNex-301, has unexpectedly reactivated and begun broadcasting fragmented telemetry toward a private ground station. Intelligence suggests it may be functioning as a covert relay. Northstar Orbital Systems has released a public mission status bulletin along with archived ground station logs covering the spacecraft's operational history. As the analyst assigned to this recovery effort, your job is to identify the satellite, trace its final transmissions, and recover the data hidden within them before the next orbital pass.</w:t>
      </w:r>
    </w:p>
    <w:p>
      <w:pPr>
        <w:pStyle w:val="Heading2"/>
        <w:spacing w:after="120" w:before="280"/>
      </w:pPr>
      <w:r>
        <w:rPr>
          <w:b/>
          <w:bCs/>
          <w:color w:val="12233D"/>
          <w:sz w:val="26"/>
          <w:szCs w:val="26"/>
        </w:rPr>
        <w:t xml:space="preserve">OBJECTIVE</w:t>
      </w:r>
    </w:p>
    <w:p>
      <w:pPr>
        <w:spacing w:after="160"/>
      </w:pPr>
      <w:r>
        <w:rPr>
          <w:sz w:val="20"/>
          <w:szCs w:val="20"/>
        </w:rPr>
        <w:t xml:space="preserve">Analyze the provided documents and ground station logs to identify the spacecraft, understand its communication parameters, and recover the hidden flag from its final transmission data.</w:t>
      </w:r>
    </w:p>
    <w:p>
      <w:pPr>
        <w:pStyle w:val="Heading2"/>
        <w:spacing w:after="120" w:before="280"/>
      </w:pPr>
      <w:r>
        <w:rPr>
          <w:b/>
          <w:bCs/>
          <w:color w:val="12233D"/>
          <w:sz w:val="26"/>
          <w:szCs w:val="26"/>
        </w:rPr>
        <w:t xml:space="preserve">PROVIDED FILES</w:t>
      </w:r>
    </w:p>
    <w:p>
      <w:pPr>
        <w:pStyle w:val="ListParagraph"/>
        <w:numPr>
          <w:ilvl w:val="0"/>
          <w:numId w:val="2"/>
        </w:numPr>
        <w:spacing w:after="80"/>
      </w:pPr>
      <w:r>
        <w:rPr>
          <w:b/>
          <w:bCs/>
          <w:sz w:val="20"/>
          <w:szCs w:val="20"/>
        </w:rPr>
        <w:t xml:space="preserve">CNX-OPS-301-042_MissionBulletin.pdf</w:t>
      </w:r>
      <w:r>
        <w:rPr>
          <w:sz w:val="20"/>
          <w:szCs w:val="20"/>
        </w:rPr>
        <w:t xml:space="preserve"> — public mission status bulletin</w:t>
      </w:r>
    </w:p>
    <w:p>
      <w:pPr>
        <w:pStyle w:val="ListParagraph"/>
        <w:numPr>
          <w:ilvl w:val="0"/>
          <w:numId w:val="2"/>
        </w:numPr>
        <w:spacing w:after="80"/>
      </w:pPr>
      <w:r>
        <w:rPr>
          <w:b/>
          <w:bCs/>
          <w:sz w:val="20"/>
          <w:szCs w:val="20"/>
        </w:rPr>
        <w:t xml:space="preserve">ground_station_full_mission_log.log</w:t>
      </w:r>
      <w:r>
        <w:rPr>
          <w:sz w:val="20"/>
          <w:szCs w:val="20"/>
        </w:rPr>
        <w:t xml:space="preserve"> — consolidated ground station log (plain text)</w:t>
      </w:r>
    </w:p>
    <w:p>
      <w:pPr>
        <w:pStyle w:val="ListParagraph"/>
        <w:numPr>
          <w:ilvl w:val="0"/>
          <w:numId w:val="2"/>
        </w:numPr>
        <w:spacing w:after="80"/>
      </w:pPr>
      <w:r>
        <w:rPr>
          <w:b/>
          <w:bCs/>
          <w:sz w:val="20"/>
          <w:szCs w:val="20"/>
        </w:rPr>
        <w:t xml:space="preserve">ground_station_telemetry.csv</w:t>
      </w:r>
      <w:r>
        <w:rPr>
          <w:sz w:val="20"/>
          <w:szCs w:val="20"/>
        </w:rPr>
        <w:t xml:space="preserve"> — same log data in spreadsheet format</w:t>
      </w:r>
    </w:p>
    <w:p>
      <w:pPr>
        <w:pStyle w:val="ListParagraph"/>
        <w:numPr>
          <w:ilvl w:val="0"/>
          <w:numId w:val="2"/>
        </w:numPr>
        <w:spacing w:after="80"/>
      </w:pPr>
      <w:r>
        <w:rPr>
          <w:b/>
          <w:bCs/>
          <w:sz w:val="20"/>
          <w:szCs w:val="20"/>
        </w:rPr>
        <w:t xml:space="preserve">ground_station_telemetry.json</w:t>
      </w:r>
      <w:r>
        <w:rPr>
          <w:sz w:val="20"/>
          <w:szCs w:val="20"/>
        </w:rPr>
        <w:t xml:space="preserve"> — same log data in structured JSON format</w:t>
      </w:r>
    </w:p>
    <w:p>
      <w:pPr>
        <w:pStyle w:val="ListParagraph"/>
        <w:numPr>
          <w:ilvl w:val="0"/>
          <w:numId w:val="2"/>
        </w:numPr>
        <w:spacing w:after="80"/>
      </w:pPr>
      <w:r>
        <w:rPr>
          <w:b/>
          <w:bCs/>
          <w:sz w:val="20"/>
          <w:szCs w:val="20"/>
        </w:rPr>
        <w:t xml:space="preserve">ground_station_telemetry.xml</w:t>
      </w:r>
      <w:r>
        <w:rPr>
          <w:sz w:val="20"/>
          <w:szCs w:val="20"/>
        </w:rPr>
        <w:t xml:space="preserve"> — same log data in XML format</w:t>
      </w:r>
    </w:p>
    <w:p>
      <w:pPr>
        <w:pStyle w:val="Heading2"/>
        <w:spacing w:after="120" w:before="280"/>
      </w:pPr>
      <w:r>
        <w:rPr>
          <w:b/>
          <w:bCs/>
          <w:color w:val="12233D"/>
          <w:sz w:val="26"/>
          <w:szCs w:val="26"/>
        </w:rPr>
        <w:t xml:space="preserve">SUGGESTED TOOLS</w:t>
      </w:r>
    </w:p>
    <w:p>
      <w:pPr>
        <w:pStyle w:val="ListParagraph"/>
        <w:numPr>
          <w:ilvl w:val="0"/>
          <w:numId w:val="2"/>
        </w:numPr>
        <w:spacing w:after="80"/>
      </w:pPr>
      <w:r>
        <w:rPr>
          <w:sz w:val="20"/>
          <w:szCs w:val="20"/>
        </w:rPr>
        <w:t xml:space="preserve">Web browser</w:t>
      </w:r>
    </w:p>
    <w:p>
      <w:pPr>
        <w:pStyle w:val="ListParagraph"/>
        <w:numPr>
          <w:ilvl w:val="0"/>
          <w:numId w:val="2"/>
        </w:numPr>
        <w:spacing w:after="80"/>
      </w:pPr>
      <w:r>
        <w:rPr>
          <w:sz w:val="20"/>
          <w:szCs w:val="20"/>
        </w:rPr>
        <w:t xml:space="preserve">Public satellite tracking registries (e.g. CelesTrak, N2YO)</w:t>
      </w:r>
    </w:p>
    <w:p>
      <w:pPr>
        <w:pStyle w:val="ListParagraph"/>
        <w:numPr>
          <w:ilvl w:val="0"/>
          <w:numId w:val="2"/>
        </w:numPr>
        <w:spacing w:after="80"/>
      </w:pPr>
      <w:r>
        <w:rPr>
          <w:sz w:val="20"/>
          <w:szCs w:val="20"/>
        </w:rPr>
        <w:t xml:space="preserve">pdfinfo / exiftool (PDF metadata inspection)</w:t>
      </w:r>
    </w:p>
    <w:p>
      <w:pPr>
        <w:pStyle w:val="ListParagraph"/>
        <w:numPr>
          <w:ilvl w:val="0"/>
          <w:numId w:val="2"/>
        </w:numPr>
        <w:spacing w:after="80"/>
      </w:pPr>
      <w:r>
        <w:rPr>
          <w:sz w:val="20"/>
          <w:szCs w:val="20"/>
        </w:rPr>
        <w:t xml:space="preserve">Any text/log/CSV/JSON viewer</w:t>
      </w:r>
    </w:p>
    <w:p>
      <w:pPr>
        <w:pStyle w:val="ListParagraph"/>
        <w:numPr>
          <w:ilvl w:val="0"/>
          <w:numId w:val="2"/>
        </w:numPr>
        <w:spacing w:after="80"/>
      </w:pPr>
      <w:r>
        <w:rPr>
          <w:sz w:val="20"/>
          <w:szCs w:val="20"/>
        </w:rPr>
        <w:t xml:space="preserve">A hex-to-ASCII decoder (CyberChef, Python, or similar)</w:t>
      </w:r>
    </w:p>
    <w:p>
      <w:pPr>
        <w:pStyle w:val="Heading2"/>
        <w:spacing w:after="120" w:before="280"/>
      </w:pPr>
      <w:r>
        <w:rPr>
          <w:b/>
          <w:bCs/>
          <w:color w:val="12233D"/>
          <w:sz w:val="26"/>
          <w:szCs w:val="26"/>
        </w:rPr>
        <w:t xml:space="preserve">YOUR TASK</w:t>
      </w:r>
    </w:p>
    <w:p>
      <w:pPr>
        <w:pStyle w:val="ListParagraph"/>
        <w:numPr>
          <w:ilvl w:val="0"/>
          <w:numId w:val="3"/>
        </w:numPr>
        <w:spacing w:after="80"/>
      </w:pPr>
      <w:r>
        <w:rPr>
          <w:sz w:val="20"/>
          <w:szCs w:val="20"/>
        </w:rPr>
        <w:t xml:space="preserve">Review the mission bulletin and identify what information about the satellite is public versus redacted.</w:t>
      </w:r>
    </w:p>
    <w:p>
      <w:pPr>
        <w:pStyle w:val="ListParagraph"/>
        <w:numPr>
          <w:ilvl w:val="0"/>
          <w:numId w:val="3"/>
        </w:numPr>
        <w:spacing w:after="80"/>
      </w:pPr>
      <w:r>
        <w:rPr>
          <w:sz w:val="20"/>
          <w:szCs w:val="20"/>
        </w:rPr>
        <w:t xml:space="preserve">Use public satellite tracking resources to cross-reference and confirm the spacecraft's identity.</w:t>
      </w:r>
    </w:p>
    <w:p>
      <w:pPr>
        <w:pStyle w:val="ListParagraph"/>
        <w:numPr>
          <w:ilvl w:val="0"/>
          <w:numId w:val="3"/>
        </w:numPr>
        <w:spacing w:after="80"/>
      </w:pPr>
      <w:r>
        <w:rPr>
          <w:sz w:val="20"/>
          <w:szCs w:val="20"/>
        </w:rPr>
        <w:t xml:space="preserve">Inspect the mission bulletin for any information not visible in the document body itself.</w:t>
      </w:r>
    </w:p>
    <w:p>
      <w:pPr>
        <w:pStyle w:val="ListParagraph"/>
        <w:numPr>
          <w:ilvl w:val="0"/>
          <w:numId w:val="3"/>
        </w:numPr>
        <w:spacing w:after="80"/>
      </w:pPr>
      <w:r>
        <w:rPr>
          <w:sz w:val="20"/>
          <w:szCs w:val="20"/>
        </w:rPr>
        <w:t xml:space="preserve">Examine the ground station logs, paying close attention to the spacecraft's final active transmission window.</w:t>
      </w:r>
    </w:p>
    <w:p>
      <w:pPr>
        <w:pStyle w:val="ListParagraph"/>
        <w:numPr>
          <w:ilvl w:val="0"/>
          <w:numId w:val="3"/>
        </w:numPr>
        <w:spacing w:after="80"/>
      </w:pPr>
      <w:r>
        <w:rPr>
          <w:sz w:val="20"/>
          <w:szCs w:val="20"/>
        </w:rPr>
        <w:t xml:space="preserve">Identify and reconstruct the data embedded across that final sequence of transmissions.</w:t>
      </w:r>
    </w:p>
    <w:p>
      <w:pPr>
        <w:pStyle w:val="ListParagraph"/>
        <w:numPr>
          <w:ilvl w:val="0"/>
          <w:numId w:val="3"/>
        </w:numPr>
        <w:spacing w:after="80"/>
      </w:pPr>
      <w:r>
        <w:rPr>
          <w:sz w:val="20"/>
          <w:szCs w:val="20"/>
        </w:rPr>
        <w:t xml:space="preserve">Decode the reconstructed data to obtain the flag.</w:t>
      </w:r>
    </w:p>
    <w:p>
      <w:pPr>
        <w:pStyle w:val="Heading2"/>
        <w:spacing w:after="120" w:before="280"/>
      </w:pPr>
      <w:r>
        <w:rPr>
          <w:b/>
          <w:bCs/>
          <w:color w:val="12233D"/>
          <w:sz w:val="26"/>
          <w:szCs w:val="26"/>
        </w:rPr>
        <w:t xml:space="preserve">FLAG SUBMISSION</w:t>
      </w:r>
    </w:p>
    <w:p>
      <w:pPr>
        <w:spacing w:after="160"/>
      </w:pPr>
      <w:r>
        <w:rPr>
          <w:sz w:val="20"/>
          <w:szCs w:val="20"/>
        </w:rPr>
        <w:t xml:space="preserve">Flags follow the exact-match format shown below. Submit your recovered flag through the CTFd platform on the Stage 1 — Skywatch challenge page.</w:t>
      </w:r>
    </w:p>
    <w:p>
      <w:pPr>
        <w:shd w:fill="EEF7EE" w:val="clear"/>
        <w:spacing w:after="200"/>
      </w:pPr>
      <w:r>
        <w:rPr>
          <w:rFonts w:ascii="Courier New" w:cs="Courier New" w:eastAsia="Courier New" w:hAnsi="Courier New"/>
          <w:color w:val="0A3D0A"/>
          <w:sz w:val="20"/>
          <w:szCs w:val="20"/>
        </w:rPr>
        <w:t xml:space="preserve">CIPHERNEX{snake_case_string}</w:t>
      </w:r>
    </w:p>
    <w:p>
      <w:pPr>
        <w:pStyle w:val="Heading2"/>
        <w:spacing w:after="120" w:before="280"/>
      </w:pPr>
      <w:r>
        <w:rPr>
          <w:b/>
          <w:bCs/>
          <w:color w:val="12233D"/>
          <w:sz w:val="26"/>
          <w:szCs w:val="26"/>
        </w:rPr>
        <w:t xml:space="preserve">HINTS (OPTIONAL)</w:t>
      </w:r>
    </w:p>
    <w:p>
      <w:pPr>
        <w:pStyle w:val="ListParagraph"/>
        <w:numPr>
          <w:ilvl w:val="0"/>
          <w:numId w:val="2"/>
        </w:numPr>
        <w:spacing w:after="80"/>
      </w:pPr>
      <w:r>
        <w:rPr>
          <w:i/>
          <w:iCs/>
          <w:sz w:val="20"/>
          <w:szCs w:val="20"/>
        </w:rPr>
        <w:t xml:space="preserve">Hint 1: </w:t>
      </w:r>
      <w:r>
        <w:rPr>
          <w:sz w:val="20"/>
          <w:szCs w:val="20"/>
        </w:rPr>
        <w:t xml:space="preserve">Look at the sky, not the ground.</w:t>
      </w:r>
    </w:p>
    <w:p>
      <w:pPr>
        <w:pStyle w:val="ListParagraph"/>
        <w:numPr>
          <w:ilvl w:val="0"/>
          <w:numId w:val="2"/>
        </w:numPr>
        <w:spacing w:after="80"/>
      </w:pPr>
      <w:r>
        <w:rPr>
          <w:i/>
          <w:iCs/>
          <w:sz w:val="20"/>
          <w:szCs w:val="20"/>
        </w:rPr>
        <w:t xml:space="preserve">Hint 2: </w:t>
      </w:r>
      <w:r>
        <w:rPr>
          <w:sz w:val="20"/>
          <w:szCs w:val="20"/>
        </w:rPr>
        <w:t xml:space="preserve">Amateur radio operators archive downlinks — and not everything in a document is visible when you first open it.</w:t>
      </w:r>
    </w:p>
    <w:p>
      <w:pPr>
        <w:pStyle w:val="ListParagraph"/>
        <w:numPr>
          <w:ilvl w:val="0"/>
          <w:numId w:val="2"/>
        </w:numPr>
        <w:spacing w:after="80"/>
      </w:pPr>
      <w:r>
        <w:rPr>
          <w:i/>
          <w:iCs/>
          <w:sz w:val="20"/>
          <w:szCs w:val="20"/>
        </w:rPr>
        <w:t xml:space="preserve">Hint 3: </w:t>
      </w:r>
      <w:r>
        <w:rPr>
          <w:sz w:val="20"/>
          <w:szCs w:val="20"/>
        </w:rPr>
        <w:t xml:space="preserve">The final transmissions weren't random. Order matters.</w:t>
      </w:r>
    </w:p>
    <w:p>
      <w:pPr>
        <w:pStyle w:val="Heading2"/>
        <w:spacing w:after="120" w:before="280"/>
      </w:pPr>
      <w:r>
        <w:rPr>
          <w:b/>
          <w:bCs/>
          <w:color w:val="12233D"/>
          <w:sz w:val="26"/>
          <w:szCs w:val="26"/>
        </w:rPr>
        <w:t xml:space="preserve">PROGRESSION</w:t>
      </w:r>
    </w:p>
    <w:p>
      <w:pPr>
        <w:spacing w:after="160"/>
      </w:pPr>
      <w:r>
        <w:rPr>
          <w:sz w:val="20"/>
          <w:szCs w:val="20"/>
        </w:rPr>
        <w:t xml:space="preserve">You must successfully capture and submit the Stage 1 flag before Stage 2 (Broken Beacon) is unlocked on the CTFd platform. Stage 2 will build directly on communication parameters you uncover here, so keep track of everything you find along the way.</w:t>
      </w:r>
    </w:p>
    <w:sectPr>
      <w:pgSz w:w="12240" w:h="15840" w:orient="portrait"/>
      <w:pgMar w:top="1080" w:right="1224" w:bottom="10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2026-09-06T06:46:36.238Z</dcterms:created>
  <dcterms:modified xsi:type="dcterms:W3CDTF">2026-09-06T06:46:36.250Z</dcterms:modified>
</cp:coreProperties>
</file>

<file path=docProps/custom.xml><?xml version="1.0" encoding="utf-8"?>
<Properties xmlns="http://schemas.openxmlformats.org/officeDocument/2006/custom-properties" xmlns:vt="http://schemas.openxmlformats.org/officeDocument/2006/docPropsVTypes"/>
</file>