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Best Practices for Building Pipelines and Notebooks for CI/CD in Microsoft Fabric</w:t>
      </w:r>
    </w:p>
    <w:p>
      <w:pPr>
        <w:pStyle w:val="Heading1"/>
      </w:pPr>
      <w:r>
        <w:t>1. General Principles (Applicable to Both Pipelines and Notebooks)</w:t>
      </w:r>
    </w:p>
    <w:p>
      <w:r>
        <w:br/>
        <w:t>- Avoid hardcoded identifiers: Do not hardcode workspace IDs, Lakehouse names, Warehouse IDs, paths, or connection strings. Use parameterized inputs or reference centralized environment configuration (like parameters.yml).</w:t>
        <w:br/>
        <w:t>- Design for environment-independence: Build once, deploy anywhere. Base logic on abstract identifiers that can be mapped at deploy-time.</w:t>
        <w:br/>
        <w:t>- Follow modular design: Break large logic blocks into smaller reusable components. Separate data ingestion, transformation, and output logic.</w:t>
        <w:br/>
        <w:t>- Enable reusability and versioning: Use Git integration effectively to maintain version control. Prefer notebooks/pipelines that can be re-used across data domains.</w:t>
        <w:br/>
      </w:r>
    </w:p>
    <w:p>
      <w:pPr>
        <w:pStyle w:val="Heading1"/>
      </w:pPr>
      <w:r>
        <w:t>2. Notebooks – Best Practices</w:t>
      </w:r>
    </w:p>
    <w:p>
      <w:pPr>
        <w:pStyle w:val="Heading2"/>
      </w:pPr>
      <w:r>
        <w:t>A. Use Parameters at Notebook Level</w:t>
      </w:r>
    </w:p>
    <w:p>
      <w:r>
        <w:br/>
        <w:t>- Declare notebook parameters at the beginning using dbutils.widgets.get().</w:t>
        <w:br/>
        <w:t>- Use these parameters to control I/O, storage zones, and destinations dynamically.</w:t>
        <w:br/>
      </w:r>
    </w:p>
    <w:p>
      <w:pPr>
        <w:pStyle w:val="Heading2"/>
      </w:pPr>
      <w:r>
        <w:t>B. Avoid Hardcoded Paths</w:t>
      </w:r>
    </w:p>
    <w:p>
      <w:r>
        <w:br/>
        <w:t>- Construct paths dynamically using parameter values.</w:t>
        <w:br/>
      </w:r>
    </w:p>
    <w:p>
      <w:pPr>
        <w:pStyle w:val="Heading2"/>
      </w:pPr>
      <w:r>
        <w:t>C. Output to Logical Zones (Bronze/Silver/Gold)</w:t>
      </w:r>
    </w:p>
    <w:p>
      <w:r>
        <w:br/>
        <w:t>- Maintain staging and clean zones for better data flow control.</w:t>
        <w:br/>
        <w:t>- Parameterize zone names (e.g., raw, curated).</w:t>
        <w:br/>
      </w:r>
    </w:p>
    <w:p>
      <w:pPr>
        <w:pStyle w:val="Heading2"/>
      </w:pPr>
      <w:r>
        <w:t>D. Include Validation and Logging</w:t>
      </w:r>
    </w:p>
    <w:p>
      <w:r>
        <w:br/>
        <w:t>- Add basic checks to verify input data exists and output is written successfully.</w:t>
        <w:br/>
        <w:t>- Log notebook execution steps to a central store or table.</w:t>
        <w:br/>
      </w:r>
    </w:p>
    <w:p>
      <w:pPr>
        <w:pStyle w:val="Heading2"/>
      </w:pPr>
      <w:r>
        <w:t>E. Design for Reusability</w:t>
      </w:r>
    </w:p>
    <w:p>
      <w:r>
        <w:br/>
        <w:t>- Avoid embedding too much logic in one notebook.</w:t>
        <w:br/>
        <w:t>- Use modular helpers and the %run command when applicable.</w:t>
        <w:br/>
      </w:r>
    </w:p>
    <w:p>
      <w:pPr>
        <w:pStyle w:val="Heading1"/>
      </w:pPr>
      <w:r>
        <w:t>3. Pipelines – Best Practices</w:t>
      </w:r>
    </w:p>
    <w:p>
      <w:pPr>
        <w:pStyle w:val="Heading2"/>
      </w:pPr>
      <w:r>
        <w:t>A. Parameterize All Input Values</w:t>
      </w:r>
    </w:p>
    <w:p>
      <w:r>
        <w:br/>
        <w:t>- Set relevant pipeline inputs (Lakehouse ID, file path, etc.) as parameters.</w:t>
        <w:br/>
        <w:t>- Use parameters.yml to map correct values during deployment.</w:t>
        <w:br/>
      </w:r>
    </w:p>
    <w:p>
      <w:pPr>
        <w:pStyle w:val="Heading2"/>
      </w:pPr>
      <w:r>
        <w:t>B. Use System Variables and Expressions</w:t>
      </w:r>
    </w:p>
    <w:p>
      <w:r>
        <w:br/>
        <w:t>- Leverage expressions and system variables for dynamic behavior.</w:t>
        <w:br/>
      </w:r>
    </w:p>
    <w:p>
      <w:pPr>
        <w:pStyle w:val="Heading2"/>
      </w:pPr>
      <w:r>
        <w:t>C. Activity Modularization</w:t>
      </w:r>
    </w:p>
    <w:p>
      <w:r>
        <w:br/>
        <w:t>- Group related activities into containers or sub-pipelines for reuse.</w:t>
        <w:br/>
      </w:r>
    </w:p>
    <w:p>
      <w:pPr>
        <w:pStyle w:val="Heading2"/>
      </w:pPr>
      <w:r>
        <w:t>D. Add Error Handling and Retry Logic</w:t>
      </w:r>
    </w:p>
    <w:p>
      <w:r>
        <w:br/>
        <w:t>- Implement onFailure, onCompletion, and retry options to handle failures.</w:t>
        <w:br/>
      </w:r>
    </w:p>
    <w:p>
      <w:pPr>
        <w:pStyle w:val="Heading2"/>
      </w:pPr>
      <w:r>
        <w:t>E. Implement Metadata-driven Design (Optional)</w:t>
      </w:r>
    </w:p>
    <w:p>
      <w:r>
        <w:br/>
        <w:t>- Reference metadata tables or config files instead of hardcoded logic.</w:t>
        <w:br/>
      </w:r>
    </w:p>
    <w:p>
      <w:pPr>
        <w:pStyle w:val="Heading1"/>
      </w:pPr>
      <w:r>
        <w:t>4. Dynamic Deployment Considerations</w:t>
      </w:r>
    </w:p>
    <w:p>
      <w:r>
        <w:br/>
        <w:t>- Build assets once using placeholders or dynamic parameters.</w:t>
        <w:br/>
        <w:t>- Drive environment-specific behavior via parameters.yml during CI/CD deployment.</w:t>
        <w:br/>
      </w:r>
    </w:p>
    <w:p>
      <w:pPr>
        <w:pStyle w:val="Heading1"/>
      </w:pPr>
      <w:r>
        <w:t>5. Summary of Do's and Don'ts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Do</w:t>
            </w:r>
          </w:p>
        </w:tc>
        <w:tc>
          <w:tcPr>
            <w:tcW w:type="dxa" w:w="4320"/>
          </w:tcPr>
          <w:p>
            <w:r>
              <w:t>Don't</w:t>
            </w:r>
          </w:p>
        </w:tc>
      </w:tr>
      <w:tr>
        <w:tc>
          <w:tcPr>
            <w:tcW w:type="dxa" w:w="4320"/>
          </w:tcPr>
          <w:p>
            <w:r>
              <w:t>Use pipeline and notebook parameters</w:t>
            </w:r>
          </w:p>
        </w:tc>
        <w:tc>
          <w:tcPr>
            <w:tcW w:type="dxa" w:w="4320"/>
          </w:tcPr>
          <w:p>
            <w:r>
              <w:t>Hardcode any IDs or paths</w:t>
            </w:r>
          </w:p>
        </w:tc>
      </w:tr>
      <w:tr>
        <w:tc>
          <w:tcPr>
            <w:tcW w:type="dxa" w:w="4320"/>
          </w:tcPr>
          <w:p>
            <w:r>
              <w:t>Reference config via parameters.yml</w:t>
            </w:r>
          </w:p>
        </w:tc>
        <w:tc>
          <w:tcPr>
            <w:tcW w:type="dxa" w:w="4320"/>
          </w:tcPr>
          <w:p>
            <w:r>
              <w:t>Use static lakehouse/table names</w:t>
            </w:r>
          </w:p>
        </w:tc>
      </w:tr>
      <w:tr>
        <w:tc>
          <w:tcPr>
            <w:tcW w:type="dxa" w:w="4320"/>
          </w:tcPr>
          <w:p>
            <w:r>
              <w:t>Add validations and retry policies</w:t>
            </w:r>
          </w:p>
        </w:tc>
        <w:tc>
          <w:tcPr>
            <w:tcW w:type="dxa" w:w="4320"/>
          </w:tcPr>
          <w:p>
            <w:r>
              <w:t>Assume success of external calls</w:t>
            </w:r>
          </w:p>
        </w:tc>
      </w:tr>
      <w:tr>
        <w:tc>
          <w:tcPr>
            <w:tcW w:type="dxa" w:w="4320"/>
          </w:tcPr>
          <w:p>
            <w:r>
              <w:t>Modularize logic</w:t>
            </w:r>
          </w:p>
        </w:tc>
        <w:tc>
          <w:tcPr>
            <w:tcW w:type="dxa" w:w="4320"/>
          </w:tcPr>
          <w:p>
            <w:r>
              <w:t>Put all logic in one monolithic pipeline</w:t>
            </w:r>
          </w:p>
        </w:tc>
      </w:tr>
      <w:tr>
        <w:tc>
          <w:tcPr>
            <w:tcW w:type="dxa" w:w="4320"/>
          </w:tcPr>
          <w:p>
            <w:r>
              <w:t>Write reusable components</w:t>
            </w:r>
          </w:p>
        </w:tc>
        <w:tc>
          <w:tcPr>
            <w:tcW w:type="dxa" w:w="4320"/>
          </w:tcPr>
          <w:p>
            <w:r>
              <w:t>Mix dev/test/prod logic inside a single script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