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6A4E" w14:textId="77777777" w:rsidR="005B25A7" w:rsidRDefault="005B25A7">
      <w:pPr>
        <w:spacing w:after="0"/>
        <w:ind w:left="-1440" w:right="10800"/>
      </w:pPr>
    </w:p>
    <w:p w14:paraId="4D1BEFED" w14:textId="77777777" w:rsidR="005B25A7" w:rsidRDefault="005B25A7">
      <w:pPr>
        <w:spacing w:after="0"/>
        <w:ind w:left="-1440" w:right="10800"/>
      </w:pPr>
    </w:p>
    <w:tbl>
      <w:tblPr>
        <w:tblStyle w:val="TableGrid1"/>
        <w:tblW w:w="0" w:type="auto"/>
        <w:tblInd w:w="-590" w:type="dxa"/>
        <w:tblBorders>
          <w:top w:val="none" w:sz="4" w:space="0" w:color="000000"/>
          <w:left w:val="none" w:sz="4" w:space="0" w:color="000000"/>
          <w:bottom w:val="none" w:sz="4" w:space="0" w:color="000000"/>
          <w:right w:val="none" w:sz="4" w:space="0" w:color="000000"/>
          <w:insideH w:val="single" w:sz="6" w:space="0" w:color="666666"/>
          <w:insideV w:val="single" w:sz="6" w:space="0" w:color="666666"/>
        </w:tblBorders>
        <w:tblLayout w:type="fixed"/>
        <w:tblLook w:val="04A0" w:firstRow="1" w:lastRow="0" w:firstColumn="1" w:lastColumn="0" w:noHBand="0" w:noVBand="1"/>
      </w:tblPr>
      <w:tblGrid>
        <w:gridCol w:w="3683"/>
        <w:gridCol w:w="6805"/>
      </w:tblGrid>
      <w:tr w:rsidR="005B25A7" w14:paraId="26B8646D" w14:textId="77777777">
        <w:trPr>
          <w:trHeight w:val="389"/>
        </w:trPr>
        <w:tc>
          <w:tcPr>
            <w:tcW w:w="10488" w:type="dxa"/>
            <w:gridSpan w:val="2"/>
            <w:tcBorders>
              <w:top w:val="single" w:sz="8" w:space="0" w:color="666666"/>
              <w:left w:val="single" w:sz="8" w:space="0" w:color="666666"/>
              <w:bottom w:val="single" w:sz="8" w:space="0" w:color="666666"/>
              <w:right w:val="single" w:sz="8" w:space="0" w:color="666666"/>
            </w:tcBorders>
            <w:shd w:val="clear" w:color="A6A6A6" w:fill="A6A6A6"/>
            <w:tcMar>
              <w:top w:w="0" w:type="dxa"/>
              <w:left w:w="0" w:type="dxa"/>
              <w:bottom w:w="0" w:type="dxa"/>
              <w:right w:w="0" w:type="dxa"/>
            </w:tcMar>
          </w:tcPr>
          <w:p w14:paraId="43D03CC7" w14:textId="77777777" w:rsidR="005B25A7" w:rsidRDefault="00000000">
            <w:pPr>
              <w:pBdr>
                <w:top w:val="none" w:sz="4" w:space="0" w:color="000000"/>
                <w:left w:val="none" w:sz="4" w:space="0" w:color="000000"/>
                <w:bottom w:val="none" w:sz="4" w:space="0" w:color="000000"/>
                <w:right w:val="none" w:sz="4" w:space="0" w:color="000000"/>
              </w:pBdr>
              <w:shd w:val="clear" w:color="A6A6A6" w:fill="A6A6A6"/>
              <w:spacing w:before="57"/>
              <w:ind w:left="50" w:right="30"/>
              <w:jc w:val="center"/>
            </w:pPr>
            <w:r>
              <w:rPr>
                <w:b/>
              </w:rPr>
              <w:t>INCLUDED</w:t>
            </w:r>
            <w:r>
              <w:rPr>
                <w:b/>
                <w:spacing w:val="-6"/>
              </w:rPr>
              <w:t xml:space="preserve"> </w:t>
            </w:r>
            <w:r>
              <w:rPr>
                <w:b/>
              </w:rPr>
              <w:t>IN</w:t>
            </w:r>
            <w:r>
              <w:rPr>
                <w:b/>
                <w:spacing w:val="-3"/>
              </w:rPr>
              <w:t xml:space="preserve"> </w:t>
            </w:r>
            <w:r>
              <w:rPr>
                <w:b/>
              </w:rPr>
              <w:t>GOOGLE</w:t>
            </w:r>
            <w:r>
              <w:rPr>
                <w:b/>
                <w:spacing w:val="-4"/>
              </w:rPr>
              <w:t xml:space="preserve"> </w:t>
            </w:r>
            <w:r>
              <w:rPr>
                <w:b/>
              </w:rPr>
              <w:t>TO</w:t>
            </w:r>
            <w:r>
              <w:rPr>
                <w:b/>
                <w:spacing w:val="-4"/>
              </w:rPr>
              <w:t xml:space="preserve"> </w:t>
            </w:r>
            <w:r>
              <w:rPr>
                <w:b/>
              </w:rPr>
              <w:t>TEAMS</w:t>
            </w:r>
            <w:r>
              <w:rPr>
                <w:b/>
                <w:spacing w:val="-3"/>
              </w:rPr>
              <w:t xml:space="preserve"> </w:t>
            </w:r>
            <w:r>
              <w:rPr>
                <w:b/>
              </w:rPr>
              <w:t>CHAT</w:t>
            </w:r>
            <w:r>
              <w:rPr>
                <w:b/>
                <w:spacing w:val="-3"/>
              </w:rPr>
              <w:t xml:space="preserve"> </w:t>
            </w:r>
            <w:r>
              <w:rPr>
                <w:b/>
              </w:rPr>
              <w:t>MIGRATION</w:t>
            </w:r>
            <w:r>
              <w:rPr>
                <w:b/>
                <w:spacing w:val="-2"/>
              </w:rPr>
              <w:t xml:space="preserve"> FEATURES</w:t>
            </w:r>
          </w:p>
        </w:tc>
      </w:tr>
      <w:tr w:rsidR="005B25A7" w14:paraId="6E41BEEF" w14:textId="77777777">
        <w:trPr>
          <w:trHeight w:val="375"/>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0AF1840A" w14:textId="77777777" w:rsidR="005B25A7" w:rsidRDefault="00000000">
            <w:pPr>
              <w:pBdr>
                <w:top w:val="none" w:sz="4" w:space="0" w:color="000000"/>
                <w:left w:val="none" w:sz="4" w:space="0" w:color="000000"/>
                <w:bottom w:val="none" w:sz="4" w:space="0" w:color="000000"/>
                <w:right w:val="none" w:sz="4" w:space="0" w:color="000000"/>
              </w:pBdr>
              <w:ind w:left="66"/>
            </w:pPr>
            <w:r>
              <w:rPr>
                <w:b/>
              </w:rPr>
              <w:t>One</w:t>
            </w:r>
            <w:r>
              <w:rPr>
                <w:b/>
                <w:spacing w:val="-5"/>
              </w:rPr>
              <w:t xml:space="preserve"> </w:t>
            </w:r>
            <w:proofErr w:type="spellStart"/>
            <w:r>
              <w:rPr>
                <w:b/>
                <w:spacing w:val="-2"/>
              </w:rPr>
              <w:t>TimeMigration</w:t>
            </w:r>
            <w:proofErr w:type="spellEnd"/>
          </w:p>
        </w:tc>
        <w:tc>
          <w:tcPr>
            <w:tcW w:w="6805" w:type="dxa"/>
            <w:tcBorders>
              <w:bottom w:val="single" w:sz="8" w:space="0" w:color="666666"/>
              <w:right w:val="single" w:sz="8" w:space="0" w:color="666666"/>
            </w:tcBorders>
            <w:tcMar>
              <w:top w:w="0" w:type="dxa"/>
              <w:left w:w="0" w:type="dxa"/>
              <w:bottom w:w="0" w:type="dxa"/>
              <w:right w:w="0" w:type="dxa"/>
            </w:tcMar>
          </w:tcPr>
          <w:p w14:paraId="6E633052"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Migration of all files/folders from source to destination in the source cloud at the start of one-time migration.</w:t>
            </w:r>
          </w:p>
        </w:tc>
      </w:tr>
      <w:tr w:rsidR="005B25A7" w14:paraId="531444C7" w14:textId="77777777">
        <w:trPr>
          <w:trHeight w:val="388"/>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6B46CE7B"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spacing w:val="-2"/>
              </w:rPr>
              <w:t>Delta Migration</w:t>
            </w:r>
          </w:p>
        </w:tc>
        <w:tc>
          <w:tcPr>
            <w:tcW w:w="6805" w:type="dxa"/>
            <w:tcBorders>
              <w:bottom w:val="single" w:sz="8" w:space="0" w:color="666666"/>
              <w:right w:val="single" w:sz="8" w:space="0" w:color="666666"/>
            </w:tcBorders>
            <w:tcMar>
              <w:top w:w="0" w:type="dxa"/>
              <w:left w:w="0" w:type="dxa"/>
              <w:bottom w:w="0" w:type="dxa"/>
              <w:right w:w="0" w:type="dxa"/>
            </w:tcMar>
          </w:tcPr>
          <w:p w14:paraId="166C4809"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Delta Migration refers to the incremental transfer of new or updated data from Google Chat to Microsoft Teams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based on Microsoft Teams capabilities.</w:t>
            </w:r>
          </w:p>
        </w:tc>
      </w:tr>
      <w:tr w:rsidR="005B25A7" w14:paraId="6DFF86B8" w14:textId="77777777">
        <w:trPr>
          <w:trHeight w:val="373"/>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4B9F7962"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spacing w:val="-2"/>
              </w:rPr>
              <w:t>Space Migration</w:t>
            </w:r>
          </w:p>
        </w:tc>
        <w:tc>
          <w:tcPr>
            <w:tcW w:w="6805" w:type="dxa"/>
            <w:tcBorders>
              <w:bottom w:val="single" w:sz="8" w:space="0" w:color="666666"/>
              <w:right w:val="single" w:sz="8" w:space="0" w:color="666666"/>
            </w:tcBorders>
            <w:tcMar>
              <w:top w:w="0" w:type="dxa"/>
              <w:left w:w="0" w:type="dxa"/>
              <w:bottom w:w="0" w:type="dxa"/>
              <w:right w:w="0" w:type="dxa"/>
            </w:tcMar>
          </w:tcPr>
          <w:p w14:paraId="40007E71"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Transferring Spaces from Google Chat to Teams, including all associated messages, attachments, and other content.</w:t>
            </w:r>
          </w:p>
        </w:tc>
      </w:tr>
      <w:tr w:rsidR="005B25A7" w14:paraId="323DDFE6" w14:textId="77777777">
        <w:trPr>
          <w:trHeight w:val="388"/>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7EE04098" w14:textId="77777777" w:rsidR="005B25A7" w:rsidRDefault="00000000">
            <w:pPr>
              <w:pBdr>
                <w:top w:val="none" w:sz="4" w:space="0" w:color="000000"/>
                <w:left w:val="none" w:sz="4" w:space="0" w:color="000000"/>
                <w:bottom w:val="none" w:sz="4" w:space="0" w:color="000000"/>
                <w:right w:val="none" w:sz="4" w:space="0" w:color="000000"/>
              </w:pBdr>
              <w:ind w:left="66"/>
            </w:pPr>
            <w:proofErr w:type="gramStart"/>
            <w:r>
              <w:rPr>
                <w:b/>
                <w:spacing w:val="-2"/>
              </w:rPr>
              <w:t>Attachments(</w:t>
            </w:r>
            <w:proofErr w:type="gramEnd"/>
            <w:r>
              <w:rPr>
                <w:b/>
                <w:spacing w:val="-2"/>
              </w:rPr>
              <w:t>Posts/Chats)</w:t>
            </w:r>
          </w:p>
        </w:tc>
        <w:tc>
          <w:tcPr>
            <w:tcW w:w="6805" w:type="dxa"/>
            <w:tcBorders>
              <w:bottom w:val="single" w:sz="8" w:space="0" w:color="666666"/>
              <w:right w:val="single" w:sz="8" w:space="0" w:color="666666"/>
            </w:tcBorders>
            <w:tcMar>
              <w:top w:w="0" w:type="dxa"/>
              <w:left w:w="0" w:type="dxa"/>
              <w:bottom w:w="0" w:type="dxa"/>
              <w:right w:w="0" w:type="dxa"/>
            </w:tcMar>
          </w:tcPr>
          <w:p w14:paraId="7C1AFBE1"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Migrating file attachments shared within Spaces, ensuring that all relevant files are transferred and accessible in Teams.</w:t>
            </w:r>
          </w:p>
        </w:tc>
      </w:tr>
      <w:tr w:rsidR="005B25A7" w14:paraId="0AB2FD24" w14:textId="77777777">
        <w:trPr>
          <w:trHeight w:val="375"/>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0AC34975" w14:textId="77777777" w:rsidR="005B25A7" w:rsidRDefault="00000000">
            <w:pPr>
              <w:pBdr>
                <w:top w:val="none" w:sz="4" w:space="0" w:color="000000"/>
                <w:left w:val="none" w:sz="4" w:space="0" w:color="000000"/>
                <w:bottom w:val="none" w:sz="4" w:space="0" w:color="000000"/>
                <w:right w:val="none" w:sz="4" w:space="0" w:color="000000"/>
              </w:pBdr>
              <w:ind w:left="66"/>
            </w:pPr>
            <w:r>
              <w:rPr>
                <w:b/>
              </w:rPr>
              <w:t>Direct</w:t>
            </w:r>
            <w:r>
              <w:rPr>
                <w:b/>
                <w:spacing w:val="-3"/>
              </w:rPr>
              <w:t xml:space="preserve"> </w:t>
            </w:r>
            <w:r>
              <w:rPr>
                <w:b/>
                <w:spacing w:val="-2"/>
              </w:rPr>
              <w:t>Messages Migration</w:t>
            </w:r>
          </w:p>
        </w:tc>
        <w:tc>
          <w:tcPr>
            <w:tcW w:w="6805" w:type="dxa"/>
            <w:tcBorders>
              <w:bottom w:val="single" w:sz="8" w:space="0" w:color="666666"/>
              <w:right w:val="single" w:sz="8" w:space="0" w:color="666666"/>
            </w:tcBorders>
            <w:tcMar>
              <w:top w:w="0" w:type="dxa"/>
              <w:left w:w="0" w:type="dxa"/>
              <w:bottom w:w="0" w:type="dxa"/>
              <w:right w:w="0" w:type="dxa"/>
            </w:tcMar>
          </w:tcPr>
          <w:p w14:paraId="00E5CB40"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Migrating one-on-one conversations, Self messages and Group direct messages from Google Chat to teams, ensuring that private communication is transferred securely.</w:t>
            </w:r>
          </w:p>
        </w:tc>
      </w:tr>
      <w:tr w:rsidR="005B25A7" w14:paraId="7F385650" w14:textId="77777777">
        <w:trPr>
          <w:trHeight w:val="389"/>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0FA60BF9"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spacing w:val="-2"/>
              </w:rPr>
              <w:t>Group messages</w:t>
            </w:r>
          </w:p>
        </w:tc>
        <w:tc>
          <w:tcPr>
            <w:tcW w:w="6805" w:type="dxa"/>
            <w:tcBorders>
              <w:bottom w:val="single" w:sz="8" w:space="0" w:color="666666"/>
              <w:right w:val="single" w:sz="8" w:space="0" w:color="666666"/>
            </w:tcBorders>
            <w:tcMar>
              <w:top w:w="0" w:type="dxa"/>
              <w:left w:w="0" w:type="dxa"/>
              <w:bottom w:w="0" w:type="dxa"/>
              <w:right w:w="0" w:type="dxa"/>
            </w:tcMar>
          </w:tcPr>
          <w:p w14:paraId="70260FC8"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Yes</w:t>
            </w:r>
          </w:p>
        </w:tc>
      </w:tr>
      <w:tr w:rsidR="005B25A7" w14:paraId="5FD1396B" w14:textId="77777777">
        <w:trPr>
          <w:trHeight w:val="372"/>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2F543DD0" w14:textId="77777777" w:rsidR="005B25A7" w:rsidRDefault="00000000">
            <w:pPr>
              <w:pBdr>
                <w:top w:val="none" w:sz="4" w:space="0" w:color="000000"/>
                <w:left w:val="none" w:sz="4" w:space="0" w:color="000000"/>
                <w:bottom w:val="none" w:sz="4" w:space="0" w:color="000000"/>
                <w:right w:val="none" w:sz="4" w:space="0" w:color="000000"/>
              </w:pBdr>
              <w:spacing w:before="56"/>
              <w:ind w:left="66"/>
            </w:pPr>
            <w:proofErr w:type="gramStart"/>
            <w:r>
              <w:rPr>
                <w:b/>
                <w:spacing w:val="-2"/>
              </w:rPr>
              <w:t>Attachments(</w:t>
            </w:r>
            <w:proofErr w:type="gramEnd"/>
            <w:r>
              <w:rPr>
                <w:b/>
                <w:spacing w:val="-2"/>
              </w:rPr>
              <w:t>Dm's/Groups)</w:t>
            </w:r>
          </w:p>
        </w:tc>
        <w:tc>
          <w:tcPr>
            <w:tcW w:w="6805" w:type="dxa"/>
            <w:tcBorders>
              <w:bottom w:val="single" w:sz="8" w:space="0" w:color="666666"/>
              <w:right w:val="single" w:sz="8" w:space="0" w:color="666666"/>
            </w:tcBorders>
            <w:tcMar>
              <w:top w:w="0" w:type="dxa"/>
              <w:left w:w="0" w:type="dxa"/>
              <w:bottom w:w="0" w:type="dxa"/>
              <w:right w:w="0" w:type="dxa"/>
            </w:tcMar>
          </w:tcPr>
          <w:p w14:paraId="4DD42D0D"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Yes</w:t>
            </w:r>
          </w:p>
        </w:tc>
      </w:tr>
      <w:tr w:rsidR="005B25A7" w14:paraId="3A4A7D4C" w14:textId="77777777">
        <w:trPr>
          <w:trHeight w:val="389"/>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789494B6" w14:textId="77777777" w:rsidR="005B25A7" w:rsidRDefault="00000000">
            <w:pPr>
              <w:pBdr>
                <w:top w:val="none" w:sz="4" w:space="0" w:color="000000"/>
                <w:left w:val="none" w:sz="4" w:space="0" w:color="000000"/>
                <w:bottom w:val="none" w:sz="4" w:space="0" w:color="000000"/>
                <w:right w:val="none" w:sz="4" w:space="0" w:color="000000"/>
              </w:pBdr>
              <w:ind w:left="66"/>
            </w:pPr>
            <w:r>
              <w:rPr>
                <w:b/>
                <w:spacing w:val="-2"/>
              </w:rPr>
              <w:t>Mentions(spaces)</w:t>
            </w:r>
          </w:p>
        </w:tc>
        <w:tc>
          <w:tcPr>
            <w:tcW w:w="6805" w:type="dxa"/>
            <w:tcBorders>
              <w:bottom w:val="single" w:sz="8" w:space="0" w:color="666666"/>
              <w:right w:val="single" w:sz="8" w:space="0" w:color="666666"/>
            </w:tcBorders>
            <w:tcMar>
              <w:top w:w="0" w:type="dxa"/>
              <w:left w:w="0" w:type="dxa"/>
              <w:bottom w:w="0" w:type="dxa"/>
              <w:right w:w="0" w:type="dxa"/>
            </w:tcMar>
          </w:tcPr>
          <w:p w14:paraId="7719F7F6"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Retaining user mentions in messages during the migration, ensuring that notifications and references to specific users are preserved.</w:t>
            </w:r>
          </w:p>
        </w:tc>
      </w:tr>
      <w:tr w:rsidR="005B25A7" w14:paraId="16EEA68A" w14:textId="77777777">
        <w:trPr>
          <w:trHeight w:val="374"/>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56B599DC" w14:textId="77777777" w:rsidR="005B25A7" w:rsidRDefault="00000000">
            <w:pPr>
              <w:pBdr>
                <w:top w:val="none" w:sz="4" w:space="0" w:color="000000"/>
                <w:left w:val="none" w:sz="4" w:space="0" w:color="000000"/>
                <w:bottom w:val="none" w:sz="4" w:space="0" w:color="000000"/>
                <w:right w:val="none" w:sz="4" w:space="0" w:color="000000"/>
              </w:pBdr>
              <w:ind w:left="66"/>
            </w:pPr>
            <w:proofErr w:type="gramStart"/>
            <w:r>
              <w:rPr>
                <w:b/>
                <w:spacing w:val="-2"/>
              </w:rPr>
              <w:t>Mentions(</w:t>
            </w:r>
            <w:proofErr w:type="gramEnd"/>
            <w:r>
              <w:rPr>
                <w:b/>
                <w:spacing w:val="-2"/>
              </w:rPr>
              <w:t>Messages/Dm's)</w:t>
            </w:r>
          </w:p>
        </w:tc>
        <w:tc>
          <w:tcPr>
            <w:tcW w:w="6805" w:type="dxa"/>
            <w:tcBorders>
              <w:bottom w:val="single" w:sz="8" w:space="0" w:color="666666"/>
              <w:right w:val="single" w:sz="8" w:space="0" w:color="666666"/>
            </w:tcBorders>
            <w:tcMar>
              <w:top w:w="0" w:type="dxa"/>
              <w:left w:w="0" w:type="dxa"/>
              <w:bottom w:w="0" w:type="dxa"/>
              <w:right w:w="0" w:type="dxa"/>
            </w:tcMar>
          </w:tcPr>
          <w:p w14:paraId="0FDC712E"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Retaining user mentions in messages during the migration, ensuring that notifications and references to specific users are preserved.</w:t>
            </w:r>
          </w:p>
        </w:tc>
      </w:tr>
      <w:tr w:rsidR="005B25A7" w14:paraId="5BD19930" w14:textId="77777777">
        <w:trPr>
          <w:trHeight w:val="388"/>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5C77B1C8" w14:textId="77777777" w:rsidR="005B25A7" w:rsidRDefault="00000000">
            <w:pPr>
              <w:pBdr>
                <w:top w:val="none" w:sz="4" w:space="0" w:color="000000"/>
                <w:left w:val="none" w:sz="4" w:space="0" w:color="000000"/>
                <w:bottom w:val="none" w:sz="4" w:space="0" w:color="000000"/>
                <w:right w:val="none" w:sz="4" w:space="0" w:color="000000"/>
              </w:pBdr>
              <w:spacing w:before="56"/>
              <w:ind w:left="66"/>
            </w:pPr>
            <w:proofErr w:type="gramStart"/>
            <w:r>
              <w:rPr>
                <w:b/>
                <w:spacing w:val="-2"/>
              </w:rPr>
              <w:t>Threads(</w:t>
            </w:r>
            <w:proofErr w:type="gramEnd"/>
            <w:r>
              <w:rPr>
                <w:b/>
                <w:spacing w:val="-2"/>
              </w:rPr>
              <w:t>Spaces)</w:t>
            </w:r>
          </w:p>
        </w:tc>
        <w:tc>
          <w:tcPr>
            <w:tcW w:w="6805" w:type="dxa"/>
            <w:tcBorders>
              <w:bottom w:val="single" w:sz="8" w:space="0" w:color="666666"/>
              <w:right w:val="single" w:sz="8" w:space="0" w:color="666666"/>
            </w:tcBorders>
            <w:tcMar>
              <w:top w:w="0" w:type="dxa"/>
              <w:left w:w="0" w:type="dxa"/>
              <w:bottom w:w="0" w:type="dxa"/>
              <w:right w:w="0" w:type="dxa"/>
            </w:tcMar>
          </w:tcPr>
          <w:p w14:paraId="76EC2197"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Preserving threaded conversations within Spaces, allowing users to follow and participate in ongoing discussions.</w:t>
            </w:r>
          </w:p>
        </w:tc>
      </w:tr>
      <w:tr w:rsidR="005B25A7" w14:paraId="654A807E" w14:textId="77777777">
        <w:trPr>
          <w:trHeight w:val="373"/>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12EE9FAE"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rPr>
              <w:t>Text</w:t>
            </w:r>
            <w:r>
              <w:rPr>
                <w:b/>
                <w:spacing w:val="-9"/>
              </w:rPr>
              <w:t xml:space="preserve"> </w:t>
            </w:r>
            <w:r>
              <w:rPr>
                <w:b/>
                <w:spacing w:val="-2"/>
              </w:rPr>
              <w:t>Formats</w:t>
            </w:r>
          </w:p>
        </w:tc>
        <w:tc>
          <w:tcPr>
            <w:tcW w:w="6805" w:type="dxa"/>
            <w:tcBorders>
              <w:bottom w:val="single" w:sz="8" w:space="0" w:color="666666"/>
              <w:right w:val="single" w:sz="8" w:space="0" w:color="666666"/>
            </w:tcBorders>
            <w:tcMar>
              <w:top w:w="0" w:type="dxa"/>
              <w:left w:w="0" w:type="dxa"/>
              <w:bottom w:w="0" w:type="dxa"/>
              <w:right w:w="0" w:type="dxa"/>
            </w:tcMar>
          </w:tcPr>
          <w:p w14:paraId="6770967F" w14:textId="77777777" w:rsidR="005B25A7" w:rsidRDefault="00000000">
            <w:pPr>
              <w:pBdr>
                <w:top w:val="none" w:sz="4" w:space="0" w:color="000000"/>
                <w:left w:val="none" w:sz="4" w:space="0" w:color="000000"/>
                <w:bottom w:val="none" w:sz="4" w:space="0" w:color="000000"/>
                <w:right w:val="none" w:sz="4" w:space="0" w:color="000000"/>
              </w:pBdr>
              <w:spacing w:before="59"/>
              <w:ind w:left="71"/>
            </w:pPr>
            <w:proofErr w:type="gramStart"/>
            <w:r>
              <w:t>Yes(</w:t>
            </w:r>
            <w:proofErr w:type="gramEnd"/>
            <w:r>
              <w:t>Underline &amp; Coloured text will migrate as normal text)</w:t>
            </w:r>
          </w:p>
        </w:tc>
      </w:tr>
      <w:tr w:rsidR="005B25A7" w14:paraId="560A638F" w14:textId="77777777">
        <w:trPr>
          <w:trHeight w:val="388"/>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7630535D" w14:textId="77777777" w:rsidR="005B25A7" w:rsidRDefault="00000000">
            <w:pPr>
              <w:pBdr>
                <w:top w:val="none" w:sz="4" w:space="0" w:color="000000"/>
                <w:left w:val="none" w:sz="4" w:space="0" w:color="000000"/>
                <w:bottom w:val="none" w:sz="4" w:space="0" w:color="000000"/>
                <w:right w:val="none" w:sz="4" w:space="0" w:color="000000"/>
              </w:pBdr>
              <w:ind w:left="66"/>
            </w:pPr>
            <w:r>
              <w:rPr>
                <w:b/>
                <w:spacing w:val="-2"/>
              </w:rPr>
              <w:t>Emojis</w:t>
            </w:r>
          </w:p>
        </w:tc>
        <w:tc>
          <w:tcPr>
            <w:tcW w:w="6805" w:type="dxa"/>
            <w:tcBorders>
              <w:bottom w:val="single" w:sz="8" w:space="0" w:color="666666"/>
              <w:right w:val="single" w:sz="8" w:space="0" w:color="666666"/>
            </w:tcBorders>
            <w:tcMar>
              <w:top w:w="0" w:type="dxa"/>
              <w:left w:w="0" w:type="dxa"/>
              <w:bottom w:w="0" w:type="dxa"/>
              <w:right w:w="0" w:type="dxa"/>
            </w:tcMar>
          </w:tcPr>
          <w:p w14:paraId="36FAFEB6"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Transferring emojis used in Google Chat to Teams, maintaining the same expressions and visual elements in the migrated content.</w:t>
            </w:r>
          </w:p>
        </w:tc>
      </w:tr>
      <w:tr w:rsidR="005B25A7" w14:paraId="3F6D9AE6" w14:textId="77777777">
        <w:trPr>
          <w:trHeight w:val="645"/>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679A3DD0" w14:textId="77777777" w:rsidR="005B25A7" w:rsidRDefault="00000000">
            <w:pPr>
              <w:pBdr>
                <w:top w:val="none" w:sz="4" w:space="0" w:color="000000"/>
                <w:left w:val="none" w:sz="4" w:space="0" w:color="000000"/>
                <w:bottom w:val="none" w:sz="4" w:space="0" w:color="000000"/>
                <w:right w:val="none" w:sz="4" w:space="0" w:color="000000"/>
              </w:pBdr>
              <w:ind w:left="66"/>
            </w:pPr>
            <w:r>
              <w:rPr>
                <w:b/>
              </w:rPr>
              <w:t>Filtering</w:t>
            </w:r>
            <w:r>
              <w:rPr>
                <w:b/>
                <w:spacing w:val="-14"/>
              </w:rPr>
              <w:t xml:space="preserve"> </w:t>
            </w:r>
            <w:r>
              <w:rPr>
                <w:b/>
              </w:rPr>
              <w:t>messages</w:t>
            </w:r>
            <w:r>
              <w:rPr>
                <w:b/>
                <w:spacing w:val="-13"/>
              </w:rPr>
              <w:t xml:space="preserve"> </w:t>
            </w:r>
            <w:r>
              <w:rPr>
                <w:b/>
              </w:rPr>
              <w:t>based</w:t>
            </w:r>
            <w:r>
              <w:rPr>
                <w:b/>
                <w:spacing w:val="-14"/>
              </w:rPr>
              <w:t xml:space="preserve"> </w:t>
            </w:r>
            <w:r>
              <w:rPr>
                <w:b/>
              </w:rPr>
              <w:t>on</w:t>
            </w:r>
            <w:r>
              <w:rPr>
                <w:b/>
                <w:spacing w:val="-14"/>
              </w:rPr>
              <w:t xml:space="preserve"> </w:t>
            </w:r>
            <w:r>
              <w:rPr>
                <w:b/>
              </w:rPr>
              <w:t>time</w:t>
            </w:r>
            <w:r>
              <w:rPr>
                <w:b/>
                <w:spacing w:val="-13"/>
              </w:rPr>
              <w:t xml:space="preserve"> </w:t>
            </w:r>
            <w:r>
              <w:rPr>
                <w:b/>
                <w:spacing w:val="-2"/>
              </w:rPr>
              <w:t>stamps (Spaces)</w:t>
            </w:r>
          </w:p>
        </w:tc>
        <w:tc>
          <w:tcPr>
            <w:tcW w:w="6805" w:type="dxa"/>
            <w:tcBorders>
              <w:bottom w:val="single" w:sz="8" w:space="0" w:color="666666"/>
              <w:right w:val="single" w:sz="8" w:space="0" w:color="666666"/>
            </w:tcBorders>
            <w:tcMar>
              <w:top w:w="0" w:type="dxa"/>
              <w:left w:w="0" w:type="dxa"/>
              <w:bottom w:w="0" w:type="dxa"/>
              <w:right w:w="0" w:type="dxa"/>
            </w:tcMar>
          </w:tcPr>
          <w:p w14:paraId="23423EBD"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Yes</w:t>
            </w:r>
          </w:p>
        </w:tc>
      </w:tr>
      <w:tr w:rsidR="005B25A7" w14:paraId="575F0861" w14:textId="77777777">
        <w:trPr>
          <w:trHeight w:val="372"/>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6ADC32E8"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rPr>
              <w:t>Members</w:t>
            </w:r>
            <w:r>
              <w:rPr>
                <w:b/>
                <w:spacing w:val="-7"/>
              </w:rPr>
              <w:t xml:space="preserve"> </w:t>
            </w:r>
            <w:proofErr w:type="spellStart"/>
            <w:r>
              <w:rPr>
                <w:b/>
                <w:spacing w:val="-2"/>
              </w:rPr>
              <w:t>inSpaces</w:t>
            </w:r>
            <w:proofErr w:type="spellEnd"/>
            <w:r>
              <w:rPr>
                <w:b/>
                <w:spacing w:val="-2"/>
              </w:rPr>
              <w:t>/Dm's</w:t>
            </w:r>
          </w:p>
        </w:tc>
        <w:tc>
          <w:tcPr>
            <w:tcW w:w="6805" w:type="dxa"/>
            <w:tcBorders>
              <w:bottom w:val="single" w:sz="8" w:space="0" w:color="666666"/>
              <w:right w:val="single" w:sz="8" w:space="0" w:color="666666"/>
            </w:tcBorders>
            <w:tcMar>
              <w:top w:w="0" w:type="dxa"/>
              <w:left w:w="0" w:type="dxa"/>
              <w:bottom w:w="0" w:type="dxa"/>
              <w:right w:w="0" w:type="dxa"/>
            </w:tcMar>
          </w:tcPr>
          <w:p w14:paraId="1C99E7D1"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Ensuring that all members of the migrated Spaces and DMs are correctly transferred to Teams, maintaining the same membership and permissions.</w:t>
            </w:r>
          </w:p>
        </w:tc>
      </w:tr>
      <w:tr w:rsidR="005B25A7" w14:paraId="4F21A692" w14:textId="77777777">
        <w:trPr>
          <w:trHeight w:val="389"/>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73D147B4" w14:textId="77777777" w:rsidR="005B25A7" w:rsidRDefault="00000000">
            <w:pPr>
              <w:pBdr>
                <w:top w:val="none" w:sz="4" w:space="0" w:color="000000"/>
                <w:left w:val="none" w:sz="4" w:space="0" w:color="000000"/>
                <w:bottom w:val="none" w:sz="4" w:space="0" w:color="000000"/>
                <w:right w:val="none" w:sz="4" w:space="0" w:color="000000"/>
              </w:pBdr>
              <w:ind w:left="66"/>
            </w:pPr>
            <w:r>
              <w:rPr>
                <w:b/>
                <w:spacing w:val="-2"/>
              </w:rPr>
              <w:t>Spaces renaming</w:t>
            </w:r>
          </w:p>
        </w:tc>
        <w:tc>
          <w:tcPr>
            <w:tcW w:w="6805" w:type="dxa"/>
            <w:tcBorders>
              <w:bottom w:val="single" w:sz="8" w:space="0" w:color="666666"/>
              <w:right w:val="single" w:sz="8" w:space="0" w:color="666666"/>
            </w:tcBorders>
            <w:tcMar>
              <w:top w:w="0" w:type="dxa"/>
              <w:left w:w="0" w:type="dxa"/>
              <w:bottom w:w="0" w:type="dxa"/>
              <w:right w:w="0" w:type="dxa"/>
            </w:tcMar>
          </w:tcPr>
          <w:p w14:paraId="3EB8B5C2"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Yes</w:t>
            </w:r>
          </w:p>
        </w:tc>
      </w:tr>
      <w:tr w:rsidR="005B25A7" w14:paraId="2E2BB3EF" w14:textId="77777777">
        <w:trPr>
          <w:trHeight w:val="375"/>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590019BC" w14:textId="77777777" w:rsidR="005B25A7" w:rsidRDefault="00000000">
            <w:pPr>
              <w:pBdr>
                <w:top w:val="none" w:sz="4" w:space="0" w:color="000000"/>
                <w:left w:val="none" w:sz="4" w:space="0" w:color="000000"/>
                <w:bottom w:val="none" w:sz="4" w:space="0" w:color="000000"/>
                <w:right w:val="none" w:sz="4" w:space="0" w:color="000000"/>
              </w:pBdr>
              <w:ind w:left="66"/>
            </w:pPr>
            <w:r>
              <w:rPr>
                <w:b/>
              </w:rPr>
              <w:t>Time</w:t>
            </w:r>
            <w:r>
              <w:rPr>
                <w:b/>
                <w:spacing w:val="-3"/>
              </w:rPr>
              <w:t xml:space="preserve"> </w:t>
            </w:r>
            <w:r>
              <w:rPr>
                <w:b/>
                <w:spacing w:val="-2"/>
              </w:rPr>
              <w:t>stamps</w:t>
            </w:r>
          </w:p>
        </w:tc>
        <w:tc>
          <w:tcPr>
            <w:tcW w:w="6805" w:type="dxa"/>
            <w:tcBorders>
              <w:bottom w:val="single" w:sz="8" w:space="0" w:color="666666"/>
              <w:right w:val="single" w:sz="8" w:space="0" w:color="666666"/>
            </w:tcBorders>
            <w:tcMar>
              <w:top w:w="0" w:type="dxa"/>
              <w:left w:w="0" w:type="dxa"/>
              <w:bottom w:w="0" w:type="dxa"/>
              <w:right w:w="0" w:type="dxa"/>
            </w:tcMar>
          </w:tcPr>
          <w:p w14:paraId="73E8344F" w14:textId="77777777" w:rsidR="005B25A7" w:rsidRDefault="00000000">
            <w:pPr>
              <w:pBdr>
                <w:top w:val="none" w:sz="4" w:space="0" w:color="000000"/>
                <w:left w:val="none" w:sz="4" w:space="0" w:color="000000"/>
                <w:bottom w:val="none" w:sz="4" w:space="0" w:color="000000"/>
                <w:right w:val="none" w:sz="4" w:space="0" w:color="000000"/>
              </w:pBdr>
              <w:spacing w:before="60"/>
              <w:ind w:left="71"/>
            </w:pPr>
            <w:r>
              <w:rPr>
                <w:spacing w:val="-5"/>
              </w:rPr>
              <w:t>When migrating DMs (One-on-one conversation, Group conversation, Self messages) into Teams, the original Google Chat timestamp is preserved by default on the migrated message.</w:t>
            </w:r>
          </w:p>
        </w:tc>
      </w:tr>
      <w:tr w:rsidR="005B25A7" w14:paraId="71450B09" w14:textId="77777777">
        <w:trPr>
          <w:trHeight w:val="372"/>
        </w:trPr>
        <w:tc>
          <w:tcPr>
            <w:tcW w:w="3683" w:type="dxa"/>
            <w:tcBorders>
              <w:left w:val="single" w:sz="8" w:space="0" w:color="666666"/>
              <w:bottom w:val="single" w:sz="8" w:space="0" w:color="666666"/>
              <w:right w:val="single" w:sz="8" w:space="0" w:color="666666"/>
            </w:tcBorders>
            <w:tcMar>
              <w:top w:w="0" w:type="dxa"/>
              <w:left w:w="0" w:type="dxa"/>
              <w:bottom w:w="0" w:type="dxa"/>
              <w:right w:w="0" w:type="dxa"/>
            </w:tcMar>
          </w:tcPr>
          <w:p w14:paraId="5DA2ADC4" w14:textId="77777777" w:rsidR="005B25A7" w:rsidRDefault="00000000">
            <w:pPr>
              <w:pBdr>
                <w:top w:val="none" w:sz="4" w:space="0" w:color="000000"/>
                <w:left w:val="none" w:sz="4" w:space="0" w:color="000000"/>
                <w:bottom w:val="none" w:sz="4" w:space="0" w:color="000000"/>
                <w:right w:val="none" w:sz="4" w:space="0" w:color="000000"/>
              </w:pBdr>
              <w:spacing w:before="56"/>
              <w:ind w:left="66"/>
            </w:pPr>
            <w:r>
              <w:rPr>
                <w:b/>
                <w:spacing w:val="-2"/>
              </w:rPr>
              <w:t>GIF's</w:t>
            </w:r>
          </w:p>
        </w:tc>
        <w:tc>
          <w:tcPr>
            <w:tcW w:w="6805" w:type="dxa"/>
            <w:tcBorders>
              <w:bottom w:val="single" w:sz="8" w:space="0" w:color="666666"/>
              <w:right w:val="single" w:sz="8" w:space="0" w:color="666666"/>
            </w:tcBorders>
            <w:tcMar>
              <w:top w:w="0" w:type="dxa"/>
              <w:left w:w="0" w:type="dxa"/>
              <w:bottom w:w="0" w:type="dxa"/>
              <w:right w:w="0" w:type="dxa"/>
            </w:tcMar>
          </w:tcPr>
          <w:p w14:paraId="44F11F28" w14:textId="77777777" w:rsidR="005B25A7" w:rsidRDefault="00000000">
            <w:pPr>
              <w:pBdr>
                <w:top w:val="none" w:sz="4" w:space="0" w:color="000000"/>
                <w:left w:val="none" w:sz="4" w:space="0" w:color="000000"/>
                <w:bottom w:val="none" w:sz="4" w:space="0" w:color="000000"/>
                <w:right w:val="none" w:sz="4" w:space="0" w:color="000000"/>
              </w:pBdr>
              <w:spacing w:before="59"/>
              <w:ind w:left="71"/>
            </w:pPr>
            <w:r>
              <w:rPr>
                <w:spacing w:val="-5"/>
              </w:rPr>
              <w:t>Yes</w:t>
            </w:r>
          </w:p>
        </w:tc>
      </w:tr>
    </w:tbl>
    <w:p w14:paraId="00C53961" w14:textId="77777777" w:rsidR="005B25A7" w:rsidRDefault="005B25A7">
      <w:pPr>
        <w:spacing w:after="0"/>
        <w:ind w:left="-1440" w:right="10800"/>
      </w:pPr>
    </w:p>
    <w:p w14:paraId="3E39B041" w14:textId="7942C704" w:rsidR="005B25A7" w:rsidRDefault="005B25A7"/>
    <w:sectPr w:rsidR="005B25A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D93A" w14:textId="77777777" w:rsidR="00E826B8" w:rsidRDefault="00E826B8">
      <w:pPr>
        <w:spacing w:after="0" w:line="240" w:lineRule="auto"/>
      </w:pPr>
      <w:r>
        <w:separator/>
      </w:r>
    </w:p>
  </w:endnote>
  <w:endnote w:type="continuationSeparator" w:id="0">
    <w:p w14:paraId="50D0BEFC" w14:textId="77777777" w:rsidR="00E826B8" w:rsidRDefault="00E82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9A30" w14:textId="77777777" w:rsidR="00E826B8" w:rsidRDefault="00E826B8">
      <w:pPr>
        <w:spacing w:after="0" w:line="240" w:lineRule="auto"/>
      </w:pPr>
      <w:r>
        <w:separator/>
      </w:r>
    </w:p>
  </w:footnote>
  <w:footnote w:type="continuationSeparator" w:id="0">
    <w:p w14:paraId="6551E522" w14:textId="77777777" w:rsidR="00E826B8" w:rsidRDefault="00E826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A7"/>
    <w:rsid w:val="000A0A72"/>
    <w:rsid w:val="005B25A7"/>
    <w:rsid w:val="00797AAB"/>
    <w:rsid w:val="00E82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AB43"/>
  <w15:docId w15:val="{035658FB-3CE5-44E2-885B-47FE6038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color w:val="000000"/>
    </w:rPr>
  </w:style>
  <w:style w:type="paragraph" w:styleId="Heading1">
    <w:name w:val="heading 1"/>
    <w:basedOn w:val="Normal"/>
    <w:next w:val="Normal"/>
    <w:link w:val="Heading1Char"/>
    <w:uiPriority w:val="9"/>
    <w:qFormat/>
    <w:pPr>
      <w:keepNext/>
      <w:keepLines/>
      <w:spacing w:before="360" w:after="80"/>
      <w:outlineLvl w:val="0"/>
    </w:pPr>
    <w:rPr>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customStyle="1" w:styleId="TableGrid1">
    <w:name w:val="Table Grid1"/>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before="57" w:after="0" w:line="240" w:lineRule="auto"/>
      <w:ind w:left="66"/>
    </w:pPr>
    <w:rPr>
      <w:rFonts w:ascii="Arial MT" w:eastAsia="Arial MT" w:hAnsi="Arial MT" w:cs="Arial MT"/>
      <w:color w:val="auto"/>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1979</Characters>
  <Application>Microsoft Office Word</Application>
  <DocSecurity>0</DocSecurity>
  <Lines>57</Lines>
  <Paragraphs>35</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2026-10-08T16:29:00Z</dcterms:created>
  <dcterms:modified xsi:type="dcterms:W3CDTF">2026-10-08T16:29:00Z</dcterms:modified>
</cp:coreProperties>
</file>