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5C454" w14:textId="36CFB962" w:rsidR="00C33536"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r w:rsidR="00C068A2" w:rsidRPr="009A4B0A">
        <w:rPr>
          <w:b/>
          <w:bCs/>
        </w:rPr>
        <w:t>{{</w:t>
      </w:r>
      <w:proofErr w:type="spellStart"/>
      <w:r w:rsidR="00C068A2" w:rsidRPr="009A4B0A">
        <w:rPr>
          <w:b/>
          <w:bCs/>
        </w:rPr>
        <w:t>Company</w:t>
      </w:r>
      <w:r w:rsidR="00C068A2" w:rsidRPr="009A4B0A">
        <w:rPr>
          <w:b/>
          <w:bCs/>
          <w:spacing w:val="-7"/>
        </w:rPr>
        <w:t>_</w:t>
      </w:r>
      <w:r w:rsidR="00C068A2" w:rsidRPr="009A4B0A">
        <w:rPr>
          <w:b/>
          <w:bCs/>
          <w:spacing w:val="-2"/>
        </w:rPr>
        <w:t>Name</w:t>
      </w:r>
      <w:proofErr w:type="spellEnd"/>
      <w:r w:rsidR="00C068A2" w:rsidRPr="009A4B0A">
        <w:rPr>
          <w:b/>
          <w:bCs/>
          <w:spacing w:val="-2"/>
        </w:rPr>
        <w:t>}}</w:t>
      </w:r>
    </w:p>
    <w:p w14:paraId="54798569" w14:textId="77777777" w:rsidR="00C33536" w:rsidRDefault="00C33536">
      <w:pPr>
        <w:spacing w:after="0" w:line="240" w:lineRule="auto"/>
      </w:pPr>
    </w:p>
    <w:p w14:paraId="54FFDE24" w14:textId="6F9113A3" w:rsidR="00C33536" w:rsidRDefault="00000000">
      <w:pPr>
        <w:pStyle w:val="PDParagraphDefault"/>
        <w:jc w:val="both"/>
      </w:pPr>
      <w:r>
        <w:t xml:space="preserve">This agreement provides </w:t>
      </w:r>
      <w:r w:rsidR="00C068A2" w:rsidRPr="009A4B0A">
        <w:rPr>
          <w:b/>
          <w:bCs/>
        </w:rPr>
        <w:t>{{</w:t>
      </w:r>
      <w:proofErr w:type="spellStart"/>
      <w:r w:rsidR="00C068A2" w:rsidRPr="009A4B0A">
        <w:rPr>
          <w:b/>
          <w:bCs/>
        </w:rPr>
        <w:t>Company</w:t>
      </w:r>
      <w:r w:rsidR="00C068A2" w:rsidRPr="009A4B0A">
        <w:rPr>
          <w:b/>
          <w:bCs/>
          <w:spacing w:val="-7"/>
        </w:rPr>
        <w:t>_</w:t>
      </w:r>
      <w:r w:rsidR="00C068A2" w:rsidRPr="009A4B0A">
        <w:rPr>
          <w:b/>
          <w:bCs/>
          <w:spacing w:val="-2"/>
        </w:rPr>
        <w:t>Name</w:t>
      </w:r>
      <w:proofErr w:type="spellEnd"/>
      <w:r w:rsidR="00C068A2" w:rsidRPr="009A4B0A">
        <w:rPr>
          <w:b/>
          <w:bCs/>
          <w:spacing w:val="-2"/>
        </w:rPr>
        <w:t>}}</w:t>
      </w:r>
      <w:r w:rsidR="00C068A2">
        <w:t xml:space="preserve"> </w:t>
      </w:r>
      <w:r>
        <w:t xml:space="preserve">with pricing for use of the </w:t>
      </w:r>
      <w:proofErr w:type="spellStart"/>
      <w:r>
        <w:t>CloudFuze’s</w:t>
      </w:r>
      <w:proofErr w:type="spellEnd"/>
      <w:r>
        <w:t xml:space="preserve"> X-Change Enterprise Data Migration Solution:</w:t>
      </w:r>
    </w:p>
    <w:p w14:paraId="76F9F27A" w14:textId="77777777" w:rsidR="00C33536" w:rsidRDefault="00C33536">
      <w:pPr>
        <w:spacing w:after="0" w:line="240" w:lineRule="auto"/>
      </w:pPr>
    </w:p>
    <w:tbl>
      <w:tblPr>
        <w:tblStyle w:val="TableGrid"/>
        <w:tblW w:w="0" w:type="auto"/>
        <w:jc w:val="center"/>
        <w:tblLook w:val="04A0" w:firstRow="1" w:lastRow="0" w:firstColumn="1" w:lastColumn="0" w:noHBand="0" w:noVBand="1"/>
      </w:tblPr>
      <w:tblGrid>
        <w:gridCol w:w="10698"/>
      </w:tblGrid>
      <w:tr w:rsidR="00C33536" w14:paraId="1828A6AC" w14:textId="77777777">
        <w:trPr>
          <w:jc w:val="center"/>
        </w:trPr>
        <w:tc>
          <w:tcPr>
            <w:tcW w:w="10714" w:type="dxa"/>
            <w:shd w:val="clear" w:color="auto" w:fill="93CDDC"/>
          </w:tcPr>
          <w:p w14:paraId="6DD825A2" w14:textId="77777777" w:rsidR="00C33536" w:rsidRDefault="00000000">
            <w:pPr>
              <w:jc w:val="center"/>
            </w:pPr>
            <w:r>
              <w:rPr>
                <w:b/>
                <w:bCs/>
                <w:sz w:val="23"/>
                <w:szCs w:val="23"/>
              </w:rPr>
              <w:t>Cloud-Hosted SaaS Solution | Managed Migration | Dedicated Migration Manager</w:t>
            </w:r>
          </w:p>
        </w:tc>
      </w:tr>
    </w:tbl>
    <w:p w14:paraId="6A8EE0D6" w14:textId="77777777" w:rsidR="00C33536" w:rsidRDefault="00C33536">
      <w:pPr>
        <w:spacing w:after="0" w:line="240" w:lineRule="auto"/>
      </w:pPr>
    </w:p>
    <w:tbl>
      <w:tblPr>
        <w:tblStyle w:val="PDPricingTableMainWithHeader"/>
        <w:tblW w:w="0" w:type="auto"/>
        <w:jc w:val="center"/>
        <w:tblLook w:val="04A0" w:firstRow="1" w:lastRow="0" w:firstColumn="1" w:lastColumn="0" w:noHBand="0" w:noVBand="1"/>
      </w:tblPr>
      <w:tblGrid>
        <w:gridCol w:w="3763"/>
        <w:gridCol w:w="4452"/>
        <w:gridCol w:w="2023"/>
      </w:tblGrid>
      <w:tr w:rsidR="00C068A2" w14:paraId="223680B0" w14:textId="77777777" w:rsidTr="00C068A2">
        <w:trPr>
          <w:cnfStyle w:val="100000000000" w:firstRow="1" w:lastRow="0" w:firstColumn="0" w:lastColumn="0" w:oddVBand="0" w:evenVBand="0" w:oddHBand="0" w:evenHBand="0" w:firstRowFirstColumn="0" w:firstRowLastColumn="0" w:lastRowFirstColumn="0" w:lastRowLastColumn="0"/>
          <w:jc w:val="center"/>
        </w:trPr>
        <w:tc>
          <w:tcPr>
            <w:tcW w:w="3763" w:type="dxa"/>
          </w:tcPr>
          <w:p w14:paraId="06544F1B" w14:textId="77777777" w:rsidR="00C068A2" w:rsidRDefault="00C068A2">
            <w:pPr>
              <w:jc w:val="center"/>
            </w:pPr>
            <w:r>
              <w:rPr>
                <w:b w:val="0"/>
                <w:bCs w:val="0"/>
              </w:rPr>
              <w:t>Job Requirement</w:t>
            </w:r>
          </w:p>
        </w:tc>
        <w:tc>
          <w:tcPr>
            <w:tcW w:w="4452" w:type="dxa"/>
          </w:tcPr>
          <w:p w14:paraId="6B6B7EB8" w14:textId="77777777" w:rsidR="00C068A2" w:rsidRDefault="00C068A2">
            <w:pPr>
              <w:jc w:val="center"/>
            </w:pPr>
            <w:r>
              <w:rPr>
                <w:b w:val="0"/>
                <w:bCs w:val="0"/>
              </w:rPr>
              <w:t>Description</w:t>
            </w:r>
          </w:p>
        </w:tc>
        <w:tc>
          <w:tcPr>
            <w:tcW w:w="2023" w:type="dxa"/>
          </w:tcPr>
          <w:p w14:paraId="33B0D70B" w14:textId="77777777" w:rsidR="00C068A2" w:rsidRDefault="00C068A2">
            <w:pPr>
              <w:jc w:val="center"/>
            </w:pPr>
            <w:proofErr w:type="gramStart"/>
            <w:r>
              <w:rPr>
                <w:b w:val="0"/>
                <w:bCs w:val="0"/>
              </w:rPr>
              <w:t>Price(</w:t>
            </w:r>
            <w:proofErr w:type="gramEnd"/>
            <w:r>
              <w:rPr>
                <w:b w:val="0"/>
                <w:bCs w:val="0"/>
              </w:rPr>
              <w:t>USD)</w:t>
            </w:r>
          </w:p>
        </w:tc>
      </w:tr>
      <w:tr w:rsidR="00C068A2" w14:paraId="59C33D40" w14:textId="77777777" w:rsidTr="00C068A2">
        <w:trPr>
          <w:jc w:val="center"/>
        </w:trPr>
        <w:tc>
          <w:tcPr>
            <w:tcW w:w="3763" w:type="dxa"/>
          </w:tcPr>
          <w:p w14:paraId="1FF3A28D" w14:textId="77777777" w:rsidR="00C068A2" w:rsidRDefault="00C068A2">
            <w:proofErr w:type="spellStart"/>
            <w:r>
              <w:rPr>
                <w:b/>
                <w:bCs/>
              </w:rPr>
              <w:t>CloudFuze</w:t>
            </w:r>
            <w:proofErr w:type="spellEnd"/>
            <w:r>
              <w:rPr>
                <w:b/>
                <w:bCs/>
              </w:rPr>
              <w:t xml:space="preserve"> X-Change Data Migration</w:t>
            </w:r>
          </w:p>
        </w:tc>
        <w:tc>
          <w:tcPr>
            <w:tcW w:w="4452" w:type="dxa"/>
          </w:tcPr>
          <w:p w14:paraId="60AFC10E" w14:textId="77777777" w:rsidR="00C068A2" w:rsidRDefault="00C068A2">
            <w:r>
              <w:t>Slack to Teams</w:t>
            </w:r>
          </w:p>
          <w:p w14:paraId="518E1B03" w14:textId="77777777" w:rsidR="00C068A2" w:rsidRDefault="00C068A2">
            <w:r>
              <w:t>-----------------------------------------------------------</w:t>
            </w:r>
          </w:p>
          <w:p w14:paraId="53AF35A1" w14:textId="66580A99" w:rsidR="00C068A2" w:rsidRDefault="00C068A2">
            <w:r>
              <w:rPr>
                <w:b/>
                <w:bCs/>
              </w:rPr>
              <w:t xml:space="preserve">Up to </w:t>
            </w:r>
            <w:r>
              <w:rPr>
                <w:b/>
                <w:bCs/>
              </w:rPr>
              <w:t>{{</w:t>
            </w:r>
            <w:proofErr w:type="spellStart"/>
            <w:r>
              <w:rPr>
                <w:b/>
                <w:bCs/>
              </w:rPr>
              <w:t>users_count</w:t>
            </w:r>
            <w:proofErr w:type="spellEnd"/>
            <w:r>
              <w:rPr>
                <w:b/>
                <w:bCs/>
              </w:rPr>
              <w:t xml:space="preserve">}} </w:t>
            </w:r>
            <w:r>
              <w:rPr>
                <w:b/>
                <w:bCs/>
              </w:rPr>
              <w:t>Users | All Channels and DMs</w:t>
            </w:r>
          </w:p>
          <w:p w14:paraId="03A93EC7" w14:textId="77777777" w:rsidR="00C068A2" w:rsidRDefault="00C068A2"/>
        </w:tc>
        <w:tc>
          <w:tcPr>
            <w:tcW w:w="2023" w:type="dxa"/>
          </w:tcPr>
          <w:p w14:paraId="0CC76D92" w14:textId="6D380953" w:rsidR="00C068A2" w:rsidRDefault="00C068A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C068A2" w14:paraId="520C8155" w14:textId="77777777" w:rsidTr="00C068A2">
        <w:trPr>
          <w:jc w:val="center"/>
        </w:trPr>
        <w:tc>
          <w:tcPr>
            <w:tcW w:w="3763" w:type="dxa"/>
          </w:tcPr>
          <w:p w14:paraId="32119778" w14:textId="77777777" w:rsidR="00C068A2" w:rsidRDefault="00C068A2">
            <w:r>
              <w:rPr>
                <w:b/>
                <w:bCs/>
              </w:rPr>
              <w:t>Managed Migration Service</w:t>
            </w:r>
          </w:p>
        </w:tc>
        <w:tc>
          <w:tcPr>
            <w:tcW w:w="4452" w:type="dxa"/>
          </w:tcPr>
          <w:p w14:paraId="67EC9A8D" w14:textId="77777777" w:rsidR="00C068A2" w:rsidRDefault="00C068A2">
            <w:r>
              <w:t>Fully Managed Migration | Dedicated Project Manager | Pre-Migration Analysis | During Migration Consulting |Post-Migration Support and Data Reconciliation Support | End-to End Migration Assistance</w:t>
            </w:r>
          </w:p>
          <w:p w14:paraId="7AF209C2" w14:textId="77777777" w:rsidR="00C068A2" w:rsidRDefault="00C068A2">
            <w:r>
              <w:t>-----------------------------------------------------------</w:t>
            </w:r>
          </w:p>
          <w:p w14:paraId="326D3EF4" w14:textId="186D6FF7" w:rsidR="00C068A2" w:rsidRDefault="00C068A2">
            <w:r>
              <w:rPr>
                <w:b/>
                <w:bCs/>
              </w:rPr>
              <w:t xml:space="preserve">Valid for </w:t>
            </w:r>
            <w:r>
              <w:rPr>
                <w:b/>
                <w:bCs/>
              </w:rPr>
              <w:t>{{</w:t>
            </w:r>
            <w:proofErr w:type="spellStart"/>
            <w:r>
              <w:rPr>
                <w:b/>
                <w:bCs/>
              </w:rPr>
              <w:t>Duration_of_months</w:t>
            </w:r>
            <w:proofErr w:type="spellEnd"/>
            <w:r>
              <w:rPr>
                <w:b/>
                <w:bCs/>
              </w:rPr>
              <w:t xml:space="preserve">}} </w:t>
            </w:r>
            <w:r>
              <w:rPr>
                <w:b/>
                <w:bCs/>
              </w:rPr>
              <w:t>Months</w:t>
            </w:r>
          </w:p>
          <w:p w14:paraId="2414EAA3" w14:textId="77777777" w:rsidR="00C068A2" w:rsidRDefault="00C068A2"/>
        </w:tc>
        <w:tc>
          <w:tcPr>
            <w:tcW w:w="2023" w:type="dxa"/>
          </w:tcPr>
          <w:p w14:paraId="5E96962F" w14:textId="4BEF8F46" w:rsidR="00C068A2" w:rsidRDefault="00C068A2">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C068A2" w14:paraId="4DE18FCE" w14:textId="77777777" w:rsidTr="00C068A2">
        <w:trPr>
          <w:jc w:val="center"/>
        </w:trPr>
        <w:tc>
          <w:tcPr>
            <w:tcW w:w="3763" w:type="dxa"/>
          </w:tcPr>
          <w:p w14:paraId="44CA882C" w14:textId="77777777" w:rsidR="00C068A2" w:rsidRDefault="00C068A2">
            <w:r>
              <w:rPr>
                <w:b/>
                <w:bCs/>
              </w:rPr>
              <w:t>Shared Server /Instance</w:t>
            </w:r>
          </w:p>
        </w:tc>
        <w:tc>
          <w:tcPr>
            <w:tcW w:w="4452" w:type="dxa"/>
          </w:tcPr>
          <w:p w14:paraId="28D6E836" w14:textId="5274E1F4" w:rsidR="00C068A2" w:rsidRDefault="00C068A2">
            <w:r>
              <w:t>1 X Shared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proofErr w:type="gramStart"/>
            <w:r>
              <w:rPr>
                <w:b/>
                <w:bCs/>
              </w:rPr>
              <w:t>}}</w:t>
            </w:r>
            <w:r>
              <w:rPr>
                <w:b/>
                <w:bCs/>
                <w:sz w:val="21"/>
                <w:szCs w:val="21"/>
              </w:rPr>
              <w:t xml:space="preserve"> </w:t>
            </w:r>
            <w:r>
              <w:rPr>
                <w:b/>
                <w:bCs/>
                <w:sz w:val="21"/>
                <w:szCs w:val="21"/>
              </w:rPr>
              <w:t xml:space="preserve"> Months</w:t>
            </w:r>
            <w:proofErr w:type="gramEnd"/>
          </w:p>
          <w:p w14:paraId="57972C7E" w14:textId="77777777" w:rsidR="00C068A2" w:rsidRDefault="00C068A2"/>
        </w:tc>
        <w:tc>
          <w:tcPr>
            <w:tcW w:w="2023" w:type="dxa"/>
          </w:tcPr>
          <w:p w14:paraId="62B17BA7" w14:textId="055915A7" w:rsidR="00C068A2" w:rsidRDefault="00C068A2">
            <w:pPr>
              <w:jc w:val="center"/>
            </w:pPr>
            <w:r w:rsidRPr="00F90C43">
              <w:rPr>
                <w:b/>
                <w:bCs/>
              </w:rPr>
              <w:t>{{</w:t>
            </w:r>
            <w:proofErr w:type="spellStart"/>
            <w:r w:rsidRPr="00F90C43">
              <w:rPr>
                <w:b/>
                <w:bCs/>
              </w:rPr>
              <w:t>instance_cost</w:t>
            </w:r>
            <w:proofErr w:type="spellEnd"/>
            <w:r w:rsidRPr="00F90C43">
              <w:rPr>
                <w:b/>
                <w:bCs/>
              </w:rPr>
              <w:t>}}</w:t>
            </w:r>
          </w:p>
        </w:tc>
      </w:tr>
    </w:tbl>
    <w:p w14:paraId="6051AE99" w14:textId="77777777" w:rsidR="00C068A2" w:rsidRPr="00E936DA" w:rsidRDefault="00C068A2" w:rsidP="00C068A2">
      <w:pPr>
        <w:rPr>
          <w:rFonts w:ascii="Arial" w:hAnsi="Arial" w:cs="Arial"/>
          <w:b/>
          <w:bCs/>
          <w:sz w:val="20"/>
          <w:szCs w:val="20"/>
        </w:rPr>
      </w:pPr>
    </w:p>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2678"/>
        <w:gridCol w:w="2679"/>
      </w:tblGrid>
      <w:tr w:rsidR="00C068A2" w14:paraId="4EB43F1B" w14:textId="77777777" w:rsidTr="003C1932">
        <w:tblPrEx>
          <w:tblCellMar>
            <w:top w:w="0" w:type="dxa"/>
            <w:left w:w="0" w:type="dxa"/>
            <w:bottom w:w="0" w:type="dxa"/>
            <w:right w:w="0" w:type="dxa"/>
          </w:tblCellMar>
        </w:tblPrEx>
        <w:trPr>
          <w:jc w:val="right"/>
        </w:trPr>
        <w:tc>
          <w:tcPr>
            <w:tcW w:w="2678" w:type="dxa"/>
          </w:tcPr>
          <w:p w14:paraId="38A4146D" w14:textId="77777777" w:rsidR="00C068A2" w:rsidRDefault="00C068A2" w:rsidP="003C1932">
            <w:pPr>
              <w:jc w:val="right"/>
              <w:rPr>
                <w:b/>
                <w:bCs/>
              </w:rPr>
            </w:pPr>
            <w:r w:rsidRPr="00E936DA">
              <w:rPr>
                <w:b/>
                <w:bCs/>
              </w:rPr>
              <w:t>Discount</w:t>
            </w:r>
          </w:p>
        </w:tc>
        <w:tc>
          <w:tcPr>
            <w:tcW w:w="2679" w:type="dxa"/>
          </w:tcPr>
          <w:p w14:paraId="09B06235" w14:textId="77777777" w:rsidR="00C068A2" w:rsidRDefault="00C068A2" w:rsidP="003C1932">
            <w:pPr>
              <w:jc w:val="right"/>
              <w:rPr>
                <w:b/>
              </w:rPr>
            </w:pPr>
            <w:r>
              <w:rPr>
                <w:b/>
                <w:bCs/>
              </w:rPr>
              <w:t>{{</w:t>
            </w:r>
            <w:proofErr w:type="spellStart"/>
            <w:r>
              <w:rPr>
                <w:b/>
                <w:bCs/>
              </w:rPr>
              <w:t>discount_amount</w:t>
            </w:r>
            <w:proofErr w:type="spellEnd"/>
            <w:r>
              <w:rPr>
                <w:b/>
                <w:bCs/>
              </w:rPr>
              <w:t>}}</w:t>
            </w:r>
          </w:p>
        </w:tc>
      </w:tr>
      <w:tr w:rsidR="00C068A2" w14:paraId="39531E6B" w14:textId="77777777" w:rsidTr="003C1932">
        <w:tblPrEx>
          <w:tblCellMar>
            <w:top w:w="0" w:type="dxa"/>
            <w:left w:w="0" w:type="dxa"/>
            <w:bottom w:w="0" w:type="dxa"/>
            <w:right w:w="0" w:type="dxa"/>
          </w:tblCellMar>
        </w:tblPrEx>
        <w:trPr>
          <w:jc w:val="right"/>
        </w:trPr>
        <w:tc>
          <w:tcPr>
            <w:tcW w:w="2678" w:type="dxa"/>
          </w:tcPr>
          <w:p w14:paraId="73E5BCF5" w14:textId="77777777" w:rsidR="00C068A2" w:rsidRDefault="00C068A2" w:rsidP="003C1932">
            <w:pPr>
              <w:jc w:val="right"/>
            </w:pPr>
            <w:r>
              <w:rPr>
                <w:b/>
                <w:bCs/>
              </w:rPr>
              <w:t>Total Price</w:t>
            </w:r>
          </w:p>
        </w:tc>
        <w:tc>
          <w:tcPr>
            <w:tcW w:w="2679" w:type="dxa"/>
          </w:tcPr>
          <w:p w14:paraId="4F8EEE27" w14:textId="77777777" w:rsidR="00C068A2" w:rsidRDefault="00C068A2" w:rsidP="003C1932">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44C2B6F4" w14:textId="77777777" w:rsidR="00C068A2" w:rsidRDefault="00C068A2" w:rsidP="00C068A2">
      <w:pPr>
        <w:spacing w:after="0" w:line="240" w:lineRule="auto"/>
      </w:pPr>
    </w:p>
    <w:p w14:paraId="4A8653FC" w14:textId="77777777" w:rsidR="00C33536" w:rsidRDefault="00C33536">
      <w:pPr>
        <w:spacing w:after="0" w:line="240" w:lineRule="auto"/>
      </w:pPr>
    </w:p>
    <w:p w14:paraId="19B370D9" w14:textId="77777777" w:rsidR="00C33536" w:rsidRDefault="00C33536">
      <w:pPr>
        <w:spacing w:after="0" w:line="240" w:lineRule="auto"/>
      </w:pPr>
    </w:p>
    <w:p w14:paraId="13FCFF8A" w14:textId="77777777" w:rsidR="00C33536" w:rsidRDefault="00C33536">
      <w:pPr>
        <w:pStyle w:val="PDParagraphDefault"/>
        <w:sectPr w:rsidR="00C33536">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C33536" w14:paraId="261E8002" w14:textId="77777777">
        <w:trPr>
          <w:jc w:val="center"/>
        </w:trPr>
        <w:tc>
          <w:tcPr>
            <w:tcW w:w="10714" w:type="dxa"/>
            <w:shd w:val="clear" w:color="auto" w:fill="93CDDC"/>
          </w:tcPr>
          <w:p w14:paraId="6BE40847" w14:textId="77777777" w:rsidR="00C33536" w:rsidRDefault="00000000">
            <w:pPr>
              <w:jc w:val="center"/>
            </w:pPr>
            <w:r>
              <w:rPr>
                <w:b/>
                <w:bCs/>
                <w:sz w:val="23"/>
                <w:szCs w:val="23"/>
              </w:rPr>
              <w:lastRenderedPageBreak/>
              <w:t>Important Payment Notes:</w:t>
            </w:r>
          </w:p>
        </w:tc>
      </w:tr>
    </w:tbl>
    <w:p w14:paraId="7B219C13" w14:textId="77777777" w:rsidR="00C33536" w:rsidRDefault="00C33536">
      <w:pPr>
        <w:spacing w:after="0" w:line="240" w:lineRule="auto"/>
      </w:pPr>
    </w:p>
    <w:p w14:paraId="536D6C74" w14:textId="77777777" w:rsidR="00C33536" w:rsidRDefault="00000000">
      <w:pPr>
        <w:pStyle w:val="PDParagraphDefault"/>
        <w:numPr>
          <w:ilvl w:val="0"/>
          <w:numId w:val="3"/>
        </w:numPr>
      </w:pPr>
      <w:r>
        <w:rPr>
          <w:b/>
          <w:bCs/>
        </w:rPr>
        <w:t>100% pre-payment before initiating the migration.</w:t>
      </w:r>
    </w:p>
    <w:p w14:paraId="27E6792E" w14:textId="77777777" w:rsidR="00C33536" w:rsidRDefault="00C33536">
      <w:pPr>
        <w:pStyle w:val="PDParagraphDefault"/>
      </w:pPr>
    </w:p>
    <w:p w14:paraId="4FC3A7C9" w14:textId="77777777" w:rsidR="00C33536" w:rsidRDefault="00000000">
      <w:pPr>
        <w:pStyle w:val="PDParagraphDefault"/>
        <w:numPr>
          <w:ilvl w:val="0"/>
          <w:numId w:val="4"/>
        </w:numPr>
      </w:pPr>
      <w:r>
        <w:rPr>
          <w:b/>
          <w:bCs/>
        </w:rPr>
        <w:t>All prices are in US dollars (USD).</w:t>
      </w:r>
    </w:p>
    <w:p w14:paraId="2008AE33" w14:textId="77777777" w:rsidR="00C33536" w:rsidRDefault="00C33536">
      <w:pPr>
        <w:pStyle w:val="PDParagraphDefault"/>
      </w:pPr>
    </w:p>
    <w:p w14:paraId="080FAEC0" w14:textId="77777777" w:rsidR="00C33536" w:rsidRDefault="00000000">
      <w:pPr>
        <w:pStyle w:val="PDParagraphDefault"/>
        <w:numPr>
          <w:ilvl w:val="0"/>
          <w:numId w:val="5"/>
        </w:numPr>
      </w:pPr>
      <w:r>
        <w:rPr>
          <w:b/>
          <w:bCs/>
        </w:rPr>
        <w:t>Any required sales taxes are not included in the above agreement.</w:t>
      </w:r>
    </w:p>
    <w:p w14:paraId="5CAFB585" w14:textId="77777777" w:rsidR="00C33536" w:rsidRDefault="00C33536">
      <w:pPr>
        <w:pStyle w:val="PDParagraphDefault"/>
      </w:pPr>
    </w:p>
    <w:p w14:paraId="5BD38AE1" w14:textId="77777777" w:rsidR="00C33536" w:rsidRDefault="00000000">
      <w:pPr>
        <w:pStyle w:val="PDParagraphDefault"/>
        <w:numPr>
          <w:ilvl w:val="0"/>
          <w:numId w:val="6"/>
        </w:numPr>
      </w:pPr>
      <w:r>
        <w:rPr>
          <w:b/>
          <w:bCs/>
        </w:rPr>
        <w:t>Overage Charges:</w:t>
      </w:r>
      <w:r>
        <w:t xml:space="preserve"> [pricing]per User | [pricing</w:t>
      </w:r>
      <w:proofErr w:type="gramStart"/>
      <w:r>
        <w:t>1]per</w:t>
      </w:r>
      <w:proofErr w:type="gramEnd"/>
      <w:r>
        <w:t xml:space="preserve"> Additional Month</w:t>
      </w:r>
    </w:p>
    <w:p w14:paraId="5D83B23A" w14:textId="77777777" w:rsidR="00C33536" w:rsidRDefault="00C33536">
      <w:pPr>
        <w:pStyle w:val="PDParagraphDefault"/>
      </w:pPr>
    </w:p>
    <w:p w14:paraId="205948C5" w14:textId="1C0DA5D5" w:rsidR="00C33536" w:rsidRDefault="00000000">
      <w:pPr>
        <w:pStyle w:val="PDParagraphDefault"/>
        <w:numPr>
          <w:ilvl w:val="0"/>
          <w:numId w:val="7"/>
        </w:numPr>
      </w:pPr>
      <w:r>
        <w:rPr>
          <w:b/>
          <w:bCs/>
        </w:rPr>
        <w:t xml:space="preserve">Initial Service </w:t>
      </w:r>
      <w:proofErr w:type="gramStart"/>
      <w:r>
        <w:rPr>
          <w:b/>
          <w:bCs/>
        </w:rPr>
        <w:t>Term:</w:t>
      </w:r>
      <w:r>
        <w:t xml:space="preserve"> </w:t>
      </w:r>
      <w:r w:rsidR="00C068A2" w:rsidRPr="00DF4EEE">
        <w:t>{{</w:t>
      </w:r>
      <w:proofErr w:type="spellStart"/>
      <w:proofErr w:type="gramEnd"/>
      <w:r w:rsidR="00C068A2" w:rsidRPr="00DF4EEE">
        <w:t>Duration_of_months</w:t>
      </w:r>
      <w:proofErr w:type="spellEnd"/>
      <w:r w:rsidR="00C068A2" w:rsidRPr="00DF4EEE">
        <w:t>}}</w:t>
      </w:r>
      <w:r w:rsidR="00C068A2">
        <w:t xml:space="preserve"> </w:t>
      </w:r>
      <w:r w:rsidR="00C068A2" w:rsidRPr="00DF4EEE">
        <w:t>months from Effective Date.</w:t>
      </w:r>
    </w:p>
    <w:p w14:paraId="1C495E0C" w14:textId="77777777" w:rsidR="00C33536" w:rsidRDefault="00C33536">
      <w:pPr>
        <w:spacing w:after="0" w:line="240" w:lineRule="auto"/>
      </w:pPr>
    </w:p>
    <w:tbl>
      <w:tblPr>
        <w:tblStyle w:val="TableGrid"/>
        <w:tblW w:w="0" w:type="auto"/>
        <w:jc w:val="center"/>
        <w:tblLook w:val="04A0" w:firstRow="1" w:lastRow="0" w:firstColumn="1" w:lastColumn="0" w:noHBand="0" w:noVBand="1"/>
      </w:tblPr>
      <w:tblGrid>
        <w:gridCol w:w="10698"/>
      </w:tblGrid>
      <w:tr w:rsidR="00C33536" w14:paraId="1B4B51E3" w14:textId="77777777">
        <w:trPr>
          <w:jc w:val="center"/>
        </w:trPr>
        <w:tc>
          <w:tcPr>
            <w:tcW w:w="10714" w:type="dxa"/>
            <w:shd w:val="clear" w:color="auto" w:fill="93CDDC"/>
          </w:tcPr>
          <w:p w14:paraId="45A9B9D7" w14:textId="77777777" w:rsidR="00C33536" w:rsidRDefault="00000000">
            <w:pPr>
              <w:jc w:val="center"/>
            </w:pPr>
            <w:r>
              <w:rPr>
                <w:b/>
                <w:bCs/>
                <w:sz w:val="23"/>
                <w:szCs w:val="23"/>
              </w:rPr>
              <w:t>SAAS SERVICE AGREEMENT:</w:t>
            </w:r>
          </w:p>
        </w:tc>
      </w:tr>
    </w:tbl>
    <w:p w14:paraId="339130B5" w14:textId="77777777" w:rsidR="00C33536" w:rsidRDefault="00C33536">
      <w:pPr>
        <w:spacing w:after="0" w:line="240" w:lineRule="auto"/>
      </w:pPr>
    </w:p>
    <w:p w14:paraId="64064EEB" w14:textId="5291749E" w:rsidR="00C33536" w:rsidRDefault="00000000" w:rsidP="00C068A2">
      <w:pPr>
        <w:pStyle w:val="PDParagraphDefault"/>
        <w:sectPr w:rsidR="00C33536">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C068A2" w:rsidRPr="001A6008">
        <w:rPr>
          <w:b/>
          <w:bCs/>
        </w:rPr>
        <w:t>{{Date}}</w:t>
      </w:r>
      <w:r w:rsidR="00C068A2">
        <w:t xml:space="preserve"> </w:t>
      </w:r>
      <w:r>
        <w:t xml:space="preserve">(the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C33536" w14:paraId="32E4E9BC" w14:textId="77777777">
        <w:tblPrEx>
          <w:tblCellMar>
            <w:top w:w="0" w:type="dxa"/>
            <w:left w:w="0" w:type="dxa"/>
          </w:tblCellMar>
        </w:tblPrEx>
        <w:trPr>
          <w:jc w:val="center"/>
        </w:trPr>
        <w:tc>
          <w:tcPr>
            <w:tcW w:w="5357" w:type="dxa"/>
          </w:tcPr>
          <w:p w14:paraId="610E6BEE" w14:textId="77777777" w:rsidR="00C33536"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014F6C25" w14:textId="77777777" w:rsidR="00C33536" w:rsidRDefault="00C33536">
            <w:pPr>
              <w:spacing w:after="0" w:line="240" w:lineRule="auto"/>
            </w:pPr>
          </w:p>
          <w:p w14:paraId="5EF48362" w14:textId="77777777" w:rsidR="00C33536" w:rsidRDefault="00C33536">
            <w:pPr>
              <w:pStyle w:val="PDParagraphDefault"/>
            </w:pPr>
          </w:p>
          <w:p w14:paraId="65612C6E" w14:textId="77777777" w:rsidR="00C33536" w:rsidRDefault="00000000">
            <w:pPr>
              <w:pStyle w:val="PDParagraphDefault"/>
            </w:pPr>
            <w:proofErr w:type="gramStart"/>
            <w:r>
              <w:t>By :</w:t>
            </w:r>
            <w:proofErr w:type="gramEnd"/>
            <w:r>
              <w:t xml:space="preserve">     _________________________________</w:t>
            </w:r>
          </w:p>
          <w:p w14:paraId="5BF2577E" w14:textId="77777777" w:rsidR="00C33536" w:rsidRDefault="00C33536">
            <w:pPr>
              <w:pStyle w:val="PDParagraphDefault"/>
            </w:pPr>
          </w:p>
          <w:p w14:paraId="7B136D50" w14:textId="77777777" w:rsidR="00C33536" w:rsidRDefault="00000000">
            <w:pPr>
              <w:pStyle w:val="PDParagraphDefault"/>
            </w:pPr>
            <w:r>
              <w:t>Name: _________________________________</w:t>
            </w:r>
          </w:p>
          <w:p w14:paraId="33558F86" w14:textId="77777777" w:rsidR="00C33536" w:rsidRDefault="00C33536">
            <w:pPr>
              <w:pStyle w:val="PDParagraphDefault"/>
            </w:pPr>
          </w:p>
          <w:p w14:paraId="746FCC16" w14:textId="77777777" w:rsidR="00C33536" w:rsidRDefault="00000000">
            <w:pPr>
              <w:pStyle w:val="PDParagraphDefault"/>
            </w:pPr>
            <w:proofErr w:type="gramStart"/>
            <w:r>
              <w:t>Title :</w:t>
            </w:r>
            <w:proofErr w:type="gramEnd"/>
            <w:r>
              <w:t xml:space="preserve">   _________________________________</w:t>
            </w:r>
          </w:p>
          <w:p w14:paraId="7FF561F9" w14:textId="77777777" w:rsidR="00C33536" w:rsidRDefault="00C33536">
            <w:pPr>
              <w:pStyle w:val="PDParagraphDefault"/>
            </w:pPr>
          </w:p>
          <w:p w14:paraId="03BC8293" w14:textId="77777777" w:rsidR="00C33536" w:rsidRDefault="00000000">
            <w:pPr>
              <w:pStyle w:val="PDParagraphDefault"/>
            </w:pPr>
            <w:proofErr w:type="gramStart"/>
            <w:r>
              <w:t>Date :</w:t>
            </w:r>
            <w:proofErr w:type="gramEnd"/>
            <w:r>
              <w:t xml:space="preserve">  _________________________________</w:t>
            </w:r>
          </w:p>
        </w:tc>
        <w:tc>
          <w:tcPr>
            <w:tcW w:w="5357" w:type="dxa"/>
          </w:tcPr>
          <w:p w14:paraId="71E9F147" w14:textId="462AEE14" w:rsidR="00C33536" w:rsidRDefault="00000000">
            <w:pPr>
              <w:pStyle w:val="PDParagraphDefault"/>
            </w:pPr>
            <w:r>
              <w:rPr>
                <w:b/>
                <w:bCs/>
                <w:u w:val="single"/>
              </w:rPr>
              <w:t xml:space="preserve">For </w:t>
            </w:r>
            <w:r w:rsidR="00C068A2" w:rsidRPr="00A6577A">
              <w:rPr>
                <w:b/>
                <w:bCs/>
                <w:u w:val="single"/>
              </w:rPr>
              <w:t>{{</w:t>
            </w:r>
            <w:proofErr w:type="spellStart"/>
            <w:r w:rsidR="00C068A2" w:rsidRPr="00A6577A">
              <w:rPr>
                <w:b/>
                <w:bCs/>
                <w:u w:val="single"/>
              </w:rPr>
              <w:t>Company</w:t>
            </w:r>
            <w:r w:rsidR="00C068A2" w:rsidRPr="00A6577A">
              <w:rPr>
                <w:b/>
                <w:bCs/>
                <w:spacing w:val="-7"/>
                <w:u w:val="single"/>
              </w:rPr>
              <w:t>_</w:t>
            </w:r>
            <w:r w:rsidR="00C068A2" w:rsidRPr="00A6577A">
              <w:rPr>
                <w:b/>
                <w:bCs/>
                <w:spacing w:val="-2"/>
                <w:u w:val="single"/>
              </w:rPr>
              <w:t>Name</w:t>
            </w:r>
            <w:proofErr w:type="spellEnd"/>
            <w:r w:rsidR="00C068A2" w:rsidRPr="00A6577A">
              <w:rPr>
                <w:b/>
                <w:bCs/>
                <w:spacing w:val="-2"/>
                <w:u w:val="single"/>
              </w:rPr>
              <w:t>}}</w:t>
            </w:r>
          </w:p>
          <w:p w14:paraId="36DA339E" w14:textId="77777777" w:rsidR="00C33536" w:rsidRDefault="00C33536">
            <w:pPr>
              <w:spacing w:after="0" w:line="240" w:lineRule="auto"/>
            </w:pPr>
          </w:p>
          <w:p w14:paraId="6BFB13EE" w14:textId="77777777" w:rsidR="00C33536" w:rsidRDefault="00C33536">
            <w:pPr>
              <w:pStyle w:val="PDParagraphDefault"/>
            </w:pPr>
          </w:p>
          <w:p w14:paraId="1A388202" w14:textId="77777777" w:rsidR="00C33536" w:rsidRDefault="00000000">
            <w:pPr>
              <w:pStyle w:val="PDParagraphDefault"/>
            </w:pPr>
            <w:proofErr w:type="gramStart"/>
            <w:r>
              <w:t>By :</w:t>
            </w:r>
            <w:proofErr w:type="gramEnd"/>
            <w:r>
              <w:t xml:space="preserve">     _________________________________</w:t>
            </w:r>
          </w:p>
          <w:p w14:paraId="04E0339D" w14:textId="77777777" w:rsidR="00C33536" w:rsidRDefault="00C33536">
            <w:pPr>
              <w:pStyle w:val="PDParagraphDefault"/>
            </w:pPr>
          </w:p>
          <w:p w14:paraId="2828B9F2" w14:textId="77777777" w:rsidR="00C33536" w:rsidRDefault="00000000">
            <w:pPr>
              <w:pStyle w:val="PDParagraphDefault"/>
            </w:pPr>
            <w:r>
              <w:t>Name: _________________________________</w:t>
            </w:r>
          </w:p>
          <w:p w14:paraId="3D723D53" w14:textId="77777777" w:rsidR="00C33536" w:rsidRDefault="00C33536">
            <w:pPr>
              <w:pStyle w:val="PDParagraphDefault"/>
            </w:pPr>
          </w:p>
          <w:p w14:paraId="62A76CC5" w14:textId="77777777" w:rsidR="00C33536" w:rsidRDefault="00000000">
            <w:pPr>
              <w:pStyle w:val="PDParagraphDefault"/>
            </w:pPr>
            <w:proofErr w:type="gramStart"/>
            <w:r>
              <w:t>Title :</w:t>
            </w:r>
            <w:proofErr w:type="gramEnd"/>
            <w:r>
              <w:t xml:space="preserve">   _________________________________</w:t>
            </w:r>
          </w:p>
          <w:p w14:paraId="4C04B6AE" w14:textId="77777777" w:rsidR="00C33536" w:rsidRDefault="00C33536">
            <w:pPr>
              <w:pStyle w:val="PDParagraphDefault"/>
            </w:pPr>
          </w:p>
          <w:p w14:paraId="6BE10760" w14:textId="77777777" w:rsidR="00C33536"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C33536" w14:paraId="585320CA" w14:textId="77777777">
        <w:trPr>
          <w:jc w:val="center"/>
        </w:trPr>
        <w:tc>
          <w:tcPr>
            <w:tcW w:w="10714" w:type="dxa"/>
            <w:shd w:val="clear" w:color="auto" w:fill="93CDDC"/>
          </w:tcPr>
          <w:p w14:paraId="12E78E84" w14:textId="77777777" w:rsidR="00C33536" w:rsidRDefault="00000000">
            <w:pPr>
              <w:jc w:val="center"/>
            </w:pPr>
            <w:r>
              <w:rPr>
                <w:b/>
                <w:bCs/>
                <w:sz w:val="23"/>
                <w:szCs w:val="23"/>
              </w:rPr>
              <w:t>TERMS AND CONDITIONS</w:t>
            </w:r>
          </w:p>
        </w:tc>
      </w:tr>
    </w:tbl>
    <w:p w14:paraId="081DC020" w14:textId="77777777" w:rsidR="00C33536" w:rsidRDefault="00C33536">
      <w:pPr>
        <w:spacing w:after="0" w:line="240" w:lineRule="auto"/>
      </w:pPr>
    </w:p>
    <w:p w14:paraId="78603DD3" w14:textId="77777777" w:rsidR="00C33536"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F30BC51" w14:textId="77777777" w:rsidR="00C33536" w:rsidRDefault="00C33536">
      <w:pPr>
        <w:spacing w:after="0" w:line="240" w:lineRule="auto"/>
      </w:pPr>
    </w:p>
    <w:tbl>
      <w:tblPr>
        <w:tblStyle w:val="CustomGrid"/>
        <w:tblW w:w="0" w:type="auto"/>
        <w:jc w:val="center"/>
        <w:tblLook w:val="04A0" w:firstRow="1" w:lastRow="0" w:firstColumn="1" w:lastColumn="0" w:noHBand="0" w:noVBand="1"/>
      </w:tblPr>
      <w:tblGrid>
        <w:gridCol w:w="10714"/>
      </w:tblGrid>
      <w:tr w:rsidR="00C33536" w14:paraId="63BA5388" w14:textId="77777777">
        <w:trPr>
          <w:jc w:val="center"/>
        </w:trPr>
        <w:tc>
          <w:tcPr>
            <w:tcW w:w="10714" w:type="dxa"/>
            <w:shd w:val="clear" w:color="auto" w:fill="93CDDC"/>
          </w:tcPr>
          <w:p w14:paraId="2BB54239" w14:textId="77777777" w:rsidR="00C33536" w:rsidRDefault="00000000">
            <w:pPr>
              <w:jc w:val="center"/>
            </w:pPr>
            <w:r>
              <w:rPr>
                <w:b/>
                <w:bCs/>
                <w:sz w:val="23"/>
                <w:szCs w:val="23"/>
              </w:rPr>
              <w:t>RESTRICTIONS AND RESPONSIBILITIES</w:t>
            </w:r>
          </w:p>
        </w:tc>
      </w:tr>
    </w:tbl>
    <w:p w14:paraId="7E23658A" w14:textId="77777777" w:rsidR="00C33536" w:rsidRDefault="00C33536">
      <w:pPr>
        <w:spacing w:after="0" w:line="240" w:lineRule="auto"/>
      </w:pPr>
    </w:p>
    <w:p w14:paraId="2EFB56DF" w14:textId="77777777" w:rsidR="00C33536" w:rsidRDefault="00000000">
      <w:pPr>
        <w:pStyle w:val="PDParagraphDefault"/>
        <w:jc w:val="both"/>
        <w:sectPr w:rsidR="00C33536">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C33536" w14:paraId="70AFE77E" w14:textId="77777777">
        <w:trPr>
          <w:jc w:val="center"/>
        </w:trPr>
        <w:tc>
          <w:tcPr>
            <w:tcW w:w="10714" w:type="dxa"/>
            <w:shd w:val="clear" w:color="auto" w:fill="93CDDC"/>
          </w:tcPr>
          <w:p w14:paraId="7B4066AD" w14:textId="77777777" w:rsidR="00C33536" w:rsidRDefault="00000000">
            <w:pPr>
              <w:jc w:val="center"/>
            </w:pPr>
            <w:r>
              <w:rPr>
                <w:b/>
                <w:bCs/>
                <w:sz w:val="24"/>
                <w:szCs w:val="24"/>
                <w:shd w:val="clear" w:color="auto" w:fill="B6DDE8"/>
              </w:rPr>
              <w:lastRenderedPageBreak/>
              <w:t>CONFIDENTIALITY, PROPRIETARY RIGHTS</w:t>
            </w:r>
          </w:p>
        </w:tc>
      </w:tr>
    </w:tbl>
    <w:p w14:paraId="2750B54D" w14:textId="77777777" w:rsidR="00C33536" w:rsidRDefault="00C33536">
      <w:pPr>
        <w:spacing w:after="0" w:line="240" w:lineRule="auto"/>
      </w:pPr>
    </w:p>
    <w:p w14:paraId="5E480D6F" w14:textId="77777777" w:rsidR="00C33536"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D383996" w14:textId="77777777" w:rsidR="00C33536"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105F64D" w14:textId="77777777" w:rsidR="00C33536" w:rsidRDefault="00000000">
      <w:pPr>
        <w:pStyle w:val="PDParagraphDefault"/>
        <w:jc w:val="both"/>
      </w:pPr>
      <w:r>
        <w:lastRenderedPageBreak/>
        <w:t xml:space="preserve"> </w:t>
      </w:r>
    </w:p>
    <w:p w14:paraId="1CC6B467" w14:textId="77777777" w:rsidR="00C33536" w:rsidRDefault="00C33536">
      <w:pPr>
        <w:spacing w:after="0" w:line="240" w:lineRule="auto"/>
      </w:pPr>
    </w:p>
    <w:tbl>
      <w:tblPr>
        <w:tblStyle w:val="CustomGrid"/>
        <w:tblW w:w="0" w:type="auto"/>
        <w:jc w:val="center"/>
        <w:tblLook w:val="04A0" w:firstRow="1" w:lastRow="0" w:firstColumn="1" w:lastColumn="0" w:noHBand="0" w:noVBand="1"/>
      </w:tblPr>
      <w:tblGrid>
        <w:gridCol w:w="10714"/>
      </w:tblGrid>
      <w:tr w:rsidR="00C33536" w14:paraId="5D8D705E" w14:textId="77777777">
        <w:trPr>
          <w:jc w:val="center"/>
        </w:trPr>
        <w:tc>
          <w:tcPr>
            <w:tcW w:w="10714" w:type="dxa"/>
            <w:shd w:val="clear" w:color="auto" w:fill="93CDDC"/>
          </w:tcPr>
          <w:p w14:paraId="0E039163" w14:textId="77777777" w:rsidR="00C33536" w:rsidRDefault="00000000">
            <w:pPr>
              <w:jc w:val="both"/>
            </w:pPr>
            <w:r>
              <w:t xml:space="preserve"> </w:t>
            </w:r>
          </w:p>
          <w:p w14:paraId="39ED3EC2" w14:textId="77777777" w:rsidR="00C33536" w:rsidRDefault="00000000">
            <w:pPr>
              <w:jc w:val="center"/>
            </w:pPr>
            <w:r>
              <w:rPr>
                <w:b/>
                <w:bCs/>
                <w:sz w:val="24"/>
                <w:szCs w:val="24"/>
                <w:shd w:val="clear" w:color="auto" w:fill="B6DDE8"/>
              </w:rPr>
              <w:t>PAYMENT OF FEES</w:t>
            </w:r>
          </w:p>
        </w:tc>
      </w:tr>
    </w:tbl>
    <w:p w14:paraId="161CA277" w14:textId="77777777" w:rsidR="00C33536" w:rsidRDefault="00C33536">
      <w:pPr>
        <w:spacing w:after="0" w:line="240" w:lineRule="auto"/>
      </w:pPr>
    </w:p>
    <w:p w14:paraId="63915A50" w14:textId="77777777" w:rsidR="00C33536"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w:t>
      </w:r>
      <w:proofErr w:type="gramStart"/>
      <w:r>
        <w:rPr>
          <w:sz w:val="24"/>
          <w:szCs w:val="24"/>
        </w:rPr>
        <w:t>department..</w:t>
      </w:r>
      <w:proofErr w:type="gramEnd"/>
      <w:r>
        <w:rPr>
          <w:sz w:val="24"/>
          <w:szCs w:val="24"/>
        </w:rPr>
        <w:t xml:space="preserve">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A4299E9" w14:textId="77777777" w:rsidR="00C33536" w:rsidRDefault="00000000">
      <w:pPr>
        <w:pStyle w:val="PDParagraphDefault"/>
        <w:jc w:val="both"/>
      </w:pPr>
      <w:r>
        <w:rPr>
          <w:sz w:val="24"/>
          <w:szCs w:val="24"/>
        </w:rPr>
        <w:t xml:space="preserve"> </w:t>
      </w:r>
    </w:p>
    <w:p w14:paraId="48175A3C" w14:textId="77777777" w:rsidR="00C33536"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42ED7A6D" w14:textId="77777777" w:rsidR="00C33536" w:rsidRDefault="00000000">
      <w:pPr>
        <w:pStyle w:val="PDParagraphDefault"/>
        <w:jc w:val="both"/>
        <w:sectPr w:rsidR="00C33536">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C33536" w14:paraId="2EB9FD0D" w14:textId="77777777">
        <w:trPr>
          <w:jc w:val="center"/>
        </w:trPr>
        <w:tc>
          <w:tcPr>
            <w:tcW w:w="10714" w:type="dxa"/>
            <w:shd w:val="clear" w:color="auto" w:fill="93CDDC"/>
          </w:tcPr>
          <w:p w14:paraId="2B7E7E24" w14:textId="77777777" w:rsidR="00C33536" w:rsidRDefault="00000000">
            <w:pPr>
              <w:jc w:val="center"/>
            </w:pPr>
            <w:r>
              <w:rPr>
                <w:b/>
                <w:bCs/>
                <w:sz w:val="24"/>
                <w:szCs w:val="24"/>
                <w:shd w:val="clear" w:color="auto" w:fill="B6DDE8"/>
              </w:rPr>
              <w:lastRenderedPageBreak/>
              <w:t>TERM AND TERMINATION</w:t>
            </w:r>
          </w:p>
        </w:tc>
      </w:tr>
    </w:tbl>
    <w:p w14:paraId="302DAAA0" w14:textId="77777777" w:rsidR="00C33536" w:rsidRDefault="00C33536">
      <w:pPr>
        <w:spacing w:after="0" w:line="240" w:lineRule="auto"/>
      </w:pPr>
    </w:p>
    <w:p w14:paraId="62F779DD" w14:textId="77777777" w:rsidR="00C33536"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B0B06E6" w14:textId="77777777" w:rsidR="00C33536" w:rsidRDefault="00000000">
      <w:pPr>
        <w:pStyle w:val="PDParagraphDefault"/>
        <w:jc w:val="both"/>
      </w:pPr>
      <w:r>
        <w:t xml:space="preserve"> </w:t>
      </w:r>
    </w:p>
    <w:p w14:paraId="011489D0" w14:textId="77777777" w:rsidR="00C33536"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0BF7A564" w14:textId="77777777" w:rsidR="00C33536" w:rsidRDefault="00C33536">
      <w:pPr>
        <w:spacing w:after="0" w:line="240" w:lineRule="auto"/>
      </w:pPr>
    </w:p>
    <w:tbl>
      <w:tblPr>
        <w:tblStyle w:val="CustomGrid"/>
        <w:tblW w:w="0" w:type="auto"/>
        <w:jc w:val="center"/>
        <w:tblLook w:val="04A0" w:firstRow="1" w:lastRow="0" w:firstColumn="1" w:lastColumn="0" w:noHBand="0" w:noVBand="1"/>
      </w:tblPr>
      <w:tblGrid>
        <w:gridCol w:w="10714"/>
      </w:tblGrid>
      <w:tr w:rsidR="00C33536" w14:paraId="73801FA1" w14:textId="77777777">
        <w:trPr>
          <w:jc w:val="center"/>
        </w:trPr>
        <w:tc>
          <w:tcPr>
            <w:tcW w:w="10714" w:type="dxa"/>
            <w:shd w:val="clear" w:color="auto" w:fill="93CDDC"/>
          </w:tcPr>
          <w:p w14:paraId="3690A2FB" w14:textId="77777777" w:rsidR="00C33536" w:rsidRDefault="00000000">
            <w:pPr>
              <w:jc w:val="both"/>
            </w:pPr>
            <w:r>
              <w:t xml:space="preserve"> </w:t>
            </w:r>
          </w:p>
          <w:p w14:paraId="65C93842" w14:textId="77777777" w:rsidR="00C33536" w:rsidRDefault="00000000">
            <w:pPr>
              <w:jc w:val="center"/>
            </w:pPr>
            <w:r>
              <w:rPr>
                <w:b/>
                <w:bCs/>
                <w:sz w:val="24"/>
                <w:szCs w:val="24"/>
                <w:shd w:val="clear" w:color="auto" w:fill="B6DDE8"/>
              </w:rPr>
              <w:t>WARRANTY AND DISCLAIMER</w:t>
            </w:r>
          </w:p>
        </w:tc>
      </w:tr>
    </w:tbl>
    <w:p w14:paraId="154A53A9" w14:textId="77777777" w:rsidR="00C33536" w:rsidRDefault="00C33536">
      <w:pPr>
        <w:spacing w:after="0" w:line="240" w:lineRule="auto"/>
      </w:pPr>
    </w:p>
    <w:p w14:paraId="5F782AB9" w14:textId="77777777" w:rsidR="00C33536"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200BDB1E" w14:textId="77777777" w:rsidR="00C33536" w:rsidRDefault="00000000">
      <w:pPr>
        <w:pStyle w:val="PDParagraphDefault"/>
        <w:jc w:val="both"/>
      </w:pPr>
      <w:r>
        <w:rPr>
          <w:sz w:val="24"/>
          <w:szCs w:val="24"/>
        </w:rPr>
        <w:t xml:space="preserve"> </w:t>
      </w:r>
    </w:p>
    <w:p w14:paraId="01E1D48F" w14:textId="77777777" w:rsidR="00C33536" w:rsidRDefault="00000000">
      <w:pPr>
        <w:pStyle w:val="PDParagraphDefault"/>
        <w:jc w:val="both"/>
        <w:sectPr w:rsidR="00C33536">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C33536" w14:paraId="68E32542" w14:textId="77777777">
        <w:trPr>
          <w:jc w:val="center"/>
        </w:trPr>
        <w:tc>
          <w:tcPr>
            <w:tcW w:w="10714" w:type="dxa"/>
            <w:shd w:val="clear" w:color="auto" w:fill="93CDDC"/>
          </w:tcPr>
          <w:p w14:paraId="4FA43070" w14:textId="77777777" w:rsidR="00C33536" w:rsidRDefault="00000000">
            <w:pPr>
              <w:jc w:val="center"/>
            </w:pPr>
            <w:r>
              <w:rPr>
                <w:b/>
                <w:bCs/>
                <w:sz w:val="24"/>
                <w:szCs w:val="24"/>
                <w:shd w:val="clear" w:color="auto" w:fill="B6DDE8"/>
              </w:rPr>
              <w:lastRenderedPageBreak/>
              <w:t>INDEMNITY</w:t>
            </w:r>
          </w:p>
        </w:tc>
      </w:tr>
    </w:tbl>
    <w:p w14:paraId="6D194D62" w14:textId="77777777" w:rsidR="00C33536" w:rsidRDefault="00C33536">
      <w:pPr>
        <w:spacing w:after="0" w:line="240" w:lineRule="auto"/>
      </w:pPr>
    </w:p>
    <w:p w14:paraId="7EBAA4D4" w14:textId="77777777" w:rsidR="00C33536"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59525F83" w14:textId="77777777" w:rsidR="00C33536" w:rsidRDefault="00000000">
      <w:pPr>
        <w:pStyle w:val="PDParagraphDefault"/>
        <w:jc w:val="both"/>
      </w:pPr>
      <w:r>
        <w:rPr>
          <w:sz w:val="24"/>
          <w:szCs w:val="24"/>
        </w:rPr>
        <w:t xml:space="preserve"> </w:t>
      </w:r>
    </w:p>
    <w:p w14:paraId="4827003A" w14:textId="77777777" w:rsidR="00C33536" w:rsidRDefault="00000000">
      <w:pPr>
        <w:pStyle w:val="PDParagraphDefault"/>
        <w:jc w:val="both"/>
      </w:pPr>
      <w:r>
        <w:rPr>
          <w:sz w:val="24"/>
          <w:szCs w:val="24"/>
        </w:rPr>
        <w:t xml:space="preserve">1) Not supplied by Company, </w:t>
      </w:r>
    </w:p>
    <w:p w14:paraId="1B409088" w14:textId="77777777" w:rsidR="00C33536" w:rsidRDefault="00000000">
      <w:pPr>
        <w:pStyle w:val="PDParagraphDefault"/>
        <w:jc w:val="both"/>
      </w:pPr>
      <w:r>
        <w:rPr>
          <w:sz w:val="24"/>
          <w:szCs w:val="24"/>
        </w:rPr>
        <w:t xml:space="preserve"> </w:t>
      </w:r>
    </w:p>
    <w:p w14:paraId="16F5749F" w14:textId="77777777" w:rsidR="00C33536" w:rsidRDefault="00000000">
      <w:pPr>
        <w:pStyle w:val="PDParagraphDefault"/>
        <w:jc w:val="both"/>
      </w:pPr>
      <w:r>
        <w:rPr>
          <w:sz w:val="24"/>
          <w:szCs w:val="24"/>
        </w:rPr>
        <w:t xml:space="preserve">2) Made in whole or in part in accordance with Customer specifications, </w:t>
      </w:r>
    </w:p>
    <w:p w14:paraId="6187A89D" w14:textId="77777777" w:rsidR="00C33536" w:rsidRDefault="00000000">
      <w:pPr>
        <w:pStyle w:val="PDParagraphDefault"/>
        <w:jc w:val="both"/>
      </w:pPr>
      <w:r>
        <w:rPr>
          <w:sz w:val="24"/>
          <w:szCs w:val="24"/>
        </w:rPr>
        <w:t xml:space="preserve"> </w:t>
      </w:r>
    </w:p>
    <w:p w14:paraId="2C5C795C" w14:textId="77777777" w:rsidR="00C33536" w:rsidRDefault="00000000">
      <w:pPr>
        <w:pStyle w:val="PDParagraphDefault"/>
        <w:jc w:val="both"/>
      </w:pPr>
      <w:r>
        <w:rPr>
          <w:sz w:val="24"/>
          <w:szCs w:val="24"/>
        </w:rPr>
        <w:t xml:space="preserve">3) That are modified after delivery by Company, </w:t>
      </w:r>
    </w:p>
    <w:p w14:paraId="72A88E98" w14:textId="77777777" w:rsidR="00C33536" w:rsidRDefault="00000000">
      <w:pPr>
        <w:pStyle w:val="PDParagraphDefault"/>
        <w:jc w:val="both"/>
      </w:pPr>
      <w:r>
        <w:rPr>
          <w:sz w:val="24"/>
          <w:szCs w:val="24"/>
        </w:rPr>
        <w:t xml:space="preserve"> </w:t>
      </w:r>
    </w:p>
    <w:p w14:paraId="477344B2" w14:textId="77777777" w:rsidR="00C33536" w:rsidRDefault="00000000">
      <w:pPr>
        <w:pStyle w:val="PDParagraphDefault"/>
        <w:jc w:val="both"/>
      </w:pPr>
      <w:r>
        <w:rPr>
          <w:sz w:val="24"/>
          <w:szCs w:val="24"/>
        </w:rPr>
        <w:t xml:space="preserve">4) Combined with other products, processes or materials where the alleged infringement relates to such combination, </w:t>
      </w:r>
    </w:p>
    <w:p w14:paraId="2C1F34A9" w14:textId="77777777" w:rsidR="00C33536" w:rsidRDefault="00000000">
      <w:pPr>
        <w:pStyle w:val="PDParagraphDefault"/>
        <w:jc w:val="both"/>
      </w:pPr>
      <w:r>
        <w:rPr>
          <w:sz w:val="24"/>
          <w:szCs w:val="24"/>
        </w:rPr>
        <w:t xml:space="preserve"> </w:t>
      </w:r>
    </w:p>
    <w:p w14:paraId="4434029F" w14:textId="77777777" w:rsidR="00C33536"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1A5575B1" w14:textId="77777777" w:rsidR="00C33536" w:rsidRDefault="00000000">
      <w:pPr>
        <w:pStyle w:val="PDParagraphDefault"/>
        <w:jc w:val="both"/>
      </w:pPr>
      <w:r>
        <w:rPr>
          <w:sz w:val="24"/>
          <w:szCs w:val="24"/>
        </w:rPr>
        <w:t xml:space="preserve"> </w:t>
      </w:r>
    </w:p>
    <w:p w14:paraId="5B90B84D" w14:textId="77777777" w:rsidR="00C33536"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59FB5A3B" w14:textId="77777777" w:rsidR="00C33536" w:rsidRDefault="00000000">
      <w:pPr>
        <w:pStyle w:val="PDParagraphDefault"/>
        <w:jc w:val="both"/>
      </w:pPr>
      <w:r>
        <w:rPr>
          <w:sz w:val="24"/>
          <w:szCs w:val="24"/>
        </w:rPr>
        <w:t xml:space="preserve"> </w:t>
      </w:r>
    </w:p>
    <w:p w14:paraId="1AC177BB" w14:textId="77777777" w:rsidR="00C33536" w:rsidRDefault="00000000">
      <w:pPr>
        <w:pStyle w:val="PDParagraphDefault"/>
        <w:jc w:val="both"/>
      </w:pPr>
      <w:r>
        <w:rPr>
          <w:sz w:val="24"/>
          <w:szCs w:val="24"/>
        </w:rPr>
        <w:t xml:space="preserve">B. Obtain for Customer a license to continue using the Service, or </w:t>
      </w:r>
    </w:p>
    <w:p w14:paraId="0B1B02CD" w14:textId="77777777" w:rsidR="00C33536" w:rsidRDefault="00000000">
      <w:pPr>
        <w:pStyle w:val="PDParagraphDefault"/>
        <w:jc w:val="both"/>
      </w:pPr>
      <w:r>
        <w:rPr>
          <w:sz w:val="24"/>
          <w:szCs w:val="24"/>
        </w:rPr>
        <w:t xml:space="preserve"> </w:t>
      </w:r>
    </w:p>
    <w:p w14:paraId="264718FD" w14:textId="77777777" w:rsidR="00C33536"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0966353" w14:textId="77777777" w:rsidR="00C33536" w:rsidRDefault="00C33536">
      <w:pPr>
        <w:spacing w:after="0" w:line="240" w:lineRule="auto"/>
      </w:pPr>
    </w:p>
    <w:tbl>
      <w:tblPr>
        <w:tblStyle w:val="CustomGrid"/>
        <w:tblW w:w="0" w:type="auto"/>
        <w:jc w:val="center"/>
        <w:tblLook w:val="04A0" w:firstRow="1" w:lastRow="0" w:firstColumn="1" w:lastColumn="0" w:noHBand="0" w:noVBand="1"/>
      </w:tblPr>
      <w:tblGrid>
        <w:gridCol w:w="10714"/>
      </w:tblGrid>
      <w:tr w:rsidR="00C33536" w14:paraId="05DD8454" w14:textId="77777777">
        <w:trPr>
          <w:jc w:val="center"/>
        </w:trPr>
        <w:tc>
          <w:tcPr>
            <w:tcW w:w="10714" w:type="dxa"/>
            <w:shd w:val="clear" w:color="auto" w:fill="93CDDC"/>
          </w:tcPr>
          <w:p w14:paraId="746D3094" w14:textId="77777777" w:rsidR="00C33536" w:rsidRDefault="00000000">
            <w:pPr>
              <w:jc w:val="both"/>
            </w:pPr>
            <w:r>
              <w:t xml:space="preserve"> </w:t>
            </w:r>
          </w:p>
          <w:p w14:paraId="1BED9E45" w14:textId="77777777" w:rsidR="00C33536" w:rsidRDefault="00000000">
            <w:pPr>
              <w:jc w:val="center"/>
            </w:pPr>
            <w:r>
              <w:rPr>
                <w:b/>
                <w:bCs/>
                <w:sz w:val="24"/>
                <w:szCs w:val="24"/>
                <w:shd w:val="clear" w:color="auto" w:fill="B6DDE8"/>
              </w:rPr>
              <w:t>LIMITATION OF LIABILITY</w:t>
            </w:r>
          </w:p>
        </w:tc>
      </w:tr>
    </w:tbl>
    <w:p w14:paraId="1E2A3407" w14:textId="77777777" w:rsidR="00C33536" w:rsidRDefault="00C33536">
      <w:pPr>
        <w:spacing w:after="0" w:line="240" w:lineRule="auto"/>
      </w:pPr>
    </w:p>
    <w:p w14:paraId="541ABC25" w14:textId="77777777" w:rsidR="00C33536"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0B0BBD9" w14:textId="77777777" w:rsidR="00C33536" w:rsidRDefault="00000000">
      <w:pPr>
        <w:pStyle w:val="PDParagraphDefault"/>
        <w:jc w:val="both"/>
      </w:pPr>
      <w:r>
        <w:rPr>
          <w:sz w:val="24"/>
          <w:szCs w:val="24"/>
        </w:rPr>
        <w:t xml:space="preserve"> </w:t>
      </w:r>
    </w:p>
    <w:p w14:paraId="37233698" w14:textId="77777777" w:rsidR="00C33536" w:rsidRDefault="00000000">
      <w:pPr>
        <w:pStyle w:val="PDParagraphDefault"/>
        <w:jc w:val="both"/>
      </w:pPr>
      <w:r>
        <w:rPr>
          <w:sz w:val="24"/>
          <w:szCs w:val="24"/>
        </w:rPr>
        <w:t xml:space="preserve">THERETO UNDER ANY CONTRACT, NEGLIGENCE, STRICT LIABILITY OR OTHER THEORY: </w:t>
      </w:r>
    </w:p>
    <w:p w14:paraId="5CF238FD" w14:textId="77777777" w:rsidR="00C33536" w:rsidRDefault="00000000">
      <w:pPr>
        <w:pStyle w:val="PDParagraphDefault"/>
        <w:jc w:val="both"/>
      </w:pPr>
      <w:r>
        <w:rPr>
          <w:sz w:val="24"/>
          <w:szCs w:val="24"/>
        </w:rPr>
        <w:t xml:space="preserve"> </w:t>
      </w:r>
    </w:p>
    <w:p w14:paraId="53811E98" w14:textId="77777777" w:rsidR="00C33536"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B7FA183" w14:textId="77777777" w:rsidR="00C33536" w:rsidRDefault="00000000">
      <w:pPr>
        <w:pStyle w:val="PDParagraphDefault"/>
        <w:jc w:val="both"/>
      </w:pPr>
      <w:r>
        <w:rPr>
          <w:sz w:val="24"/>
          <w:szCs w:val="24"/>
        </w:rPr>
        <w:t xml:space="preserve"> </w:t>
      </w:r>
    </w:p>
    <w:p w14:paraId="0A63CE79" w14:textId="77777777" w:rsidR="00C33536"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31F4AE0E" w14:textId="77777777" w:rsidR="00C33536" w:rsidRDefault="00000000">
      <w:pPr>
        <w:pStyle w:val="PDParagraphDefault"/>
        <w:jc w:val="both"/>
      </w:pPr>
      <w:r>
        <w:rPr>
          <w:sz w:val="24"/>
          <w:szCs w:val="24"/>
        </w:rPr>
        <w:t xml:space="preserve"> </w:t>
      </w:r>
    </w:p>
    <w:p w14:paraId="12C62E79" w14:textId="77777777" w:rsidR="00C33536"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57F19433" w14:textId="77777777" w:rsidR="00C33536" w:rsidRDefault="00000000">
      <w:pPr>
        <w:pStyle w:val="PDParagraphDefault"/>
      </w:pPr>
      <w:r>
        <w:rPr>
          <w:sz w:val="24"/>
          <w:szCs w:val="24"/>
        </w:rPr>
        <w:t xml:space="preserve"> </w:t>
      </w:r>
    </w:p>
    <w:p w14:paraId="69CF43DD" w14:textId="77777777" w:rsidR="00C33536" w:rsidRDefault="00000000">
      <w:pPr>
        <w:pStyle w:val="PDParagraphDefault"/>
      </w:pPr>
      <w:r>
        <w:rPr>
          <w:sz w:val="24"/>
          <w:szCs w:val="24"/>
        </w:rPr>
        <w:t>(D) FOR ANY INDIRECT, EXEMPLARY, INCIDENTAL, SPECIAL OR CONSEQUENTIAL DAMAGES. (E) FOR ANY MATTER BEYOND COMPANY’S REASONABLE CONTROL. OR</w:t>
      </w:r>
    </w:p>
    <w:p w14:paraId="4F6B5F3C" w14:textId="77777777" w:rsidR="00C33536" w:rsidRDefault="00000000">
      <w:pPr>
        <w:pStyle w:val="PDParagraphDefault"/>
      </w:pPr>
      <w:r>
        <w:rPr>
          <w:sz w:val="24"/>
          <w:szCs w:val="24"/>
        </w:rPr>
        <w:t>(F) FOR ANY AMOUNTS THAT, TOGETHER WITH</w:t>
      </w:r>
    </w:p>
    <w:p w14:paraId="6531547D" w14:textId="77777777" w:rsidR="00C33536" w:rsidRDefault="00000000">
      <w:pPr>
        <w:pStyle w:val="PDParagraphDefault"/>
      </w:pPr>
      <w:r>
        <w:rPr>
          <w:sz w:val="24"/>
          <w:szCs w:val="24"/>
        </w:rPr>
        <w:t xml:space="preserve"> </w:t>
      </w:r>
    </w:p>
    <w:p w14:paraId="30833B7E" w14:textId="77777777" w:rsidR="00C33536" w:rsidRDefault="00000000">
      <w:pPr>
        <w:pStyle w:val="PDParagraphDefault"/>
        <w:sectPr w:rsidR="00C33536">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C33536" w14:paraId="28DAA829" w14:textId="77777777">
        <w:trPr>
          <w:jc w:val="center"/>
        </w:trPr>
        <w:tc>
          <w:tcPr>
            <w:tcW w:w="10714" w:type="dxa"/>
            <w:shd w:val="clear" w:color="auto" w:fill="93CDDC"/>
          </w:tcPr>
          <w:p w14:paraId="358E22D2" w14:textId="77777777" w:rsidR="00C33536" w:rsidRDefault="00000000">
            <w:pPr>
              <w:jc w:val="center"/>
            </w:pPr>
            <w:r>
              <w:rPr>
                <w:b/>
                <w:bCs/>
                <w:sz w:val="24"/>
                <w:szCs w:val="24"/>
                <w:shd w:val="clear" w:color="auto" w:fill="B6DDE8"/>
              </w:rPr>
              <w:lastRenderedPageBreak/>
              <w:t>MISCELLANEOUS</w:t>
            </w:r>
          </w:p>
        </w:tc>
      </w:tr>
    </w:tbl>
    <w:p w14:paraId="6771E683" w14:textId="77777777" w:rsidR="00C33536" w:rsidRDefault="00C33536">
      <w:pPr>
        <w:spacing w:after="0" w:line="240" w:lineRule="auto"/>
      </w:pPr>
    </w:p>
    <w:p w14:paraId="17A52395" w14:textId="77777777" w:rsidR="00C33536" w:rsidRDefault="00000000">
      <w:pPr>
        <w:pStyle w:val="PDParagraphDefault"/>
        <w:jc w:val="both"/>
        <w:sectPr w:rsidR="00C33536">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C33536" w14:paraId="436F8615" w14:textId="77777777">
        <w:trPr>
          <w:jc w:val="center"/>
        </w:trPr>
        <w:tc>
          <w:tcPr>
            <w:tcW w:w="10714" w:type="dxa"/>
            <w:shd w:val="clear" w:color="auto" w:fill="93CDDC"/>
          </w:tcPr>
          <w:p w14:paraId="3552C580" w14:textId="77777777" w:rsidR="00C33536" w:rsidRDefault="00000000">
            <w:pPr>
              <w:jc w:val="center"/>
            </w:pPr>
            <w:r>
              <w:rPr>
                <w:b/>
                <w:bCs/>
                <w:sz w:val="24"/>
                <w:szCs w:val="24"/>
                <w:shd w:val="clear" w:color="auto" w:fill="B6DDE8"/>
              </w:rPr>
              <w:lastRenderedPageBreak/>
              <w:t>Exhibit 1- INCLUDED IN MIGRATION</w:t>
            </w:r>
          </w:p>
        </w:tc>
      </w:tr>
    </w:tbl>
    <w:p w14:paraId="2877B184" w14:textId="77777777" w:rsidR="00C33536" w:rsidRDefault="00C33536">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C33536" w14:paraId="7E3FAE2F" w14:textId="77777777" w:rsidTr="00C33536">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2E1DF49" w14:textId="77777777" w:rsidR="00C33536" w:rsidRDefault="00000000">
            <w:pPr>
              <w:jc w:val="center"/>
            </w:pPr>
            <w:r>
              <w:rPr>
                <w:b w:val="0"/>
                <w:bCs w:val="0"/>
              </w:rPr>
              <w:t>INCLUDED IN SLACK TO TEAMS MIGRATION FEATURES</w:t>
            </w:r>
          </w:p>
        </w:tc>
      </w:tr>
      <w:tr w:rsidR="00C33536" w14:paraId="5CB389DC" w14:textId="77777777" w:rsidTr="00C33536">
        <w:trPr>
          <w:jc w:val="center"/>
        </w:trPr>
        <w:tc>
          <w:tcPr>
            <w:tcW w:w="3112" w:type="dxa"/>
          </w:tcPr>
          <w:p w14:paraId="6C0A49E4" w14:textId="77777777" w:rsidR="00C33536" w:rsidRDefault="00000000">
            <w:pPr>
              <w:spacing w:line="264" w:lineRule="auto"/>
            </w:pPr>
            <w:r>
              <w:rPr>
                <w:b/>
                <w:bCs/>
                <w:sz w:val="21"/>
                <w:szCs w:val="21"/>
              </w:rPr>
              <w:t>One Time Migration</w:t>
            </w:r>
          </w:p>
        </w:tc>
        <w:tc>
          <w:tcPr>
            <w:tcW w:w="7602" w:type="dxa"/>
          </w:tcPr>
          <w:p w14:paraId="61C1A3BE" w14:textId="77777777" w:rsidR="00C33536" w:rsidRDefault="00000000">
            <w:r>
              <w:rPr>
                <w:sz w:val="23"/>
                <w:szCs w:val="23"/>
              </w:rPr>
              <w:t>Migration of all files/folders from source to destination in the source cloud at the start of one-time migration.</w:t>
            </w:r>
          </w:p>
        </w:tc>
      </w:tr>
      <w:tr w:rsidR="00C33536" w14:paraId="668A94FD" w14:textId="77777777" w:rsidTr="00C33536">
        <w:trPr>
          <w:jc w:val="center"/>
        </w:trPr>
        <w:tc>
          <w:tcPr>
            <w:tcW w:w="3112" w:type="dxa"/>
          </w:tcPr>
          <w:p w14:paraId="6EBCB4F4" w14:textId="77777777" w:rsidR="00C33536" w:rsidRDefault="00000000">
            <w:pPr>
              <w:spacing w:line="264" w:lineRule="auto"/>
            </w:pPr>
            <w:r>
              <w:rPr>
                <w:b/>
                <w:bCs/>
                <w:sz w:val="21"/>
                <w:szCs w:val="21"/>
              </w:rPr>
              <w:t>Delta Migration</w:t>
            </w:r>
          </w:p>
        </w:tc>
        <w:tc>
          <w:tcPr>
            <w:tcW w:w="7602" w:type="dxa"/>
          </w:tcPr>
          <w:p w14:paraId="5876F464" w14:textId="77777777" w:rsidR="00C33536" w:rsidRDefault="00000000">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C33536" w14:paraId="587C5F1B" w14:textId="77777777" w:rsidTr="00C33536">
        <w:trPr>
          <w:jc w:val="center"/>
        </w:trPr>
        <w:tc>
          <w:tcPr>
            <w:tcW w:w="3112" w:type="dxa"/>
          </w:tcPr>
          <w:p w14:paraId="6D82A6FE" w14:textId="77777777" w:rsidR="00C33536" w:rsidRDefault="00000000">
            <w:pPr>
              <w:spacing w:line="264" w:lineRule="auto"/>
            </w:pPr>
            <w:r>
              <w:rPr>
                <w:b/>
                <w:bCs/>
                <w:sz w:val="21"/>
                <w:szCs w:val="21"/>
              </w:rPr>
              <w:t>Public Channels Migration</w:t>
            </w:r>
          </w:p>
        </w:tc>
        <w:tc>
          <w:tcPr>
            <w:tcW w:w="7602" w:type="dxa"/>
          </w:tcPr>
          <w:p w14:paraId="484D4C7E" w14:textId="77777777" w:rsidR="00C33536" w:rsidRDefault="00000000">
            <w:pPr>
              <w:spacing w:line="264" w:lineRule="auto"/>
            </w:pPr>
            <w:r>
              <w:rPr>
                <w:sz w:val="21"/>
                <w:szCs w:val="21"/>
              </w:rPr>
              <w:t>Transferring public channels from Slack to Teams, including all associated messages, attachments, and other content.</w:t>
            </w:r>
          </w:p>
        </w:tc>
      </w:tr>
      <w:tr w:rsidR="00C33536" w14:paraId="1143EDF2" w14:textId="77777777" w:rsidTr="00C33536">
        <w:trPr>
          <w:jc w:val="center"/>
        </w:trPr>
        <w:tc>
          <w:tcPr>
            <w:tcW w:w="3112" w:type="dxa"/>
          </w:tcPr>
          <w:p w14:paraId="365966C6" w14:textId="77777777" w:rsidR="00C33536" w:rsidRDefault="00000000">
            <w:r>
              <w:rPr>
                <w:b/>
                <w:bCs/>
                <w:sz w:val="21"/>
                <w:szCs w:val="21"/>
              </w:rPr>
              <w:t>Private Channels Migration</w:t>
            </w:r>
          </w:p>
        </w:tc>
        <w:tc>
          <w:tcPr>
            <w:tcW w:w="7602" w:type="dxa"/>
          </w:tcPr>
          <w:p w14:paraId="1EC89D36" w14:textId="77777777" w:rsidR="00C33536" w:rsidRDefault="00000000">
            <w:r>
              <w:rPr>
                <w:sz w:val="21"/>
                <w:szCs w:val="21"/>
              </w:rPr>
              <w:t>Private Slack channels will be migrated as Standard Channels in MS Teams, preserving message history and content while maintaining the appropriate access restrictions. </w:t>
            </w:r>
          </w:p>
        </w:tc>
      </w:tr>
      <w:tr w:rsidR="00C33536" w14:paraId="0BD3362D" w14:textId="77777777" w:rsidTr="00C33536">
        <w:trPr>
          <w:jc w:val="center"/>
        </w:trPr>
        <w:tc>
          <w:tcPr>
            <w:tcW w:w="3112" w:type="dxa"/>
          </w:tcPr>
          <w:p w14:paraId="760C21C5" w14:textId="77777777" w:rsidR="00C33536" w:rsidRDefault="00000000">
            <w:pPr>
              <w:spacing w:line="264" w:lineRule="auto"/>
            </w:pPr>
            <w:r>
              <w:rPr>
                <w:b/>
                <w:bCs/>
                <w:sz w:val="21"/>
                <w:szCs w:val="21"/>
              </w:rPr>
              <w:t>Channel Members</w:t>
            </w:r>
          </w:p>
        </w:tc>
        <w:tc>
          <w:tcPr>
            <w:tcW w:w="7602" w:type="dxa"/>
          </w:tcPr>
          <w:p w14:paraId="4A787FFF" w14:textId="77777777" w:rsidR="00C33536" w:rsidRDefault="00000000">
            <w:pPr>
              <w:spacing w:line="264" w:lineRule="auto"/>
            </w:pPr>
            <w:r>
              <w:rPr>
                <w:sz w:val="21"/>
                <w:szCs w:val="21"/>
              </w:rPr>
              <w:t>Ensuring that all members of the migrated channels are correctly transferred to Teams, maintaining the same membership and permissions.</w:t>
            </w:r>
          </w:p>
        </w:tc>
      </w:tr>
      <w:tr w:rsidR="00C33536" w14:paraId="2DCDD449" w14:textId="77777777" w:rsidTr="00C33536">
        <w:trPr>
          <w:jc w:val="center"/>
        </w:trPr>
        <w:tc>
          <w:tcPr>
            <w:tcW w:w="3112" w:type="dxa"/>
          </w:tcPr>
          <w:p w14:paraId="40D21C56" w14:textId="77777777" w:rsidR="00C33536" w:rsidRDefault="00000000">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5795EDBA" w14:textId="77777777" w:rsidR="00C33536" w:rsidRDefault="00000000">
            <w:pPr>
              <w:spacing w:line="264" w:lineRule="auto"/>
            </w:pPr>
            <w:r>
              <w:rPr>
                <w:sz w:val="21"/>
                <w:szCs w:val="21"/>
              </w:rPr>
              <w:t>Retaining the information about the user who posted each message during the migration process, enabling proper attribution.</w:t>
            </w:r>
          </w:p>
        </w:tc>
      </w:tr>
      <w:tr w:rsidR="00C33536" w14:paraId="329334B9" w14:textId="77777777" w:rsidTr="00C33536">
        <w:trPr>
          <w:jc w:val="center"/>
        </w:trPr>
        <w:tc>
          <w:tcPr>
            <w:tcW w:w="3112" w:type="dxa"/>
          </w:tcPr>
          <w:p w14:paraId="4C55B495" w14:textId="77777777" w:rsidR="00C33536" w:rsidRDefault="00000000">
            <w:pPr>
              <w:spacing w:line="264" w:lineRule="auto"/>
            </w:pPr>
            <w:r>
              <w:rPr>
                <w:b/>
                <w:bCs/>
                <w:sz w:val="21"/>
                <w:szCs w:val="21"/>
              </w:rPr>
              <w:t>Text Messages</w:t>
            </w:r>
            <w:r>
              <w:rPr>
                <w:sz w:val="21"/>
                <w:szCs w:val="21"/>
              </w:rPr>
              <w:t xml:space="preserve"> </w:t>
            </w:r>
            <w:r>
              <w:rPr>
                <w:sz w:val="21"/>
                <w:szCs w:val="21"/>
              </w:rPr>
              <w:br/>
              <w:t xml:space="preserve"> </w:t>
            </w:r>
          </w:p>
        </w:tc>
        <w:tc>
          <w:tcPr>
            <w:tcW w:w="7602" w:type="dxa"/>
          </w:tcPr>
          <w:p w14:paraId="0EFD9D96" w14:textId="77777777" w:rsidR="00C33536" w:rsidRDefault="00000000">
            <w:pPr>
              <w:spacing w:line="264" w:lineRule="auto"/>
            </w:pPr>
            <w:r>
              <w:rPr>
                <w:sz w:val="21"/>
                <w:szCs w:val="21"/>
              </w:rPr>
              <w:t>Transferring regular messages from Slack to Teams, including text-based communication between users.</w:t>
            </w:r>
          </w:p>
        </w:tc>
      </w:tr>
      <w:tr w:rsidR="00C33536" w14:paraId="6175A85C" w14:textId="77777777" w:rsidTr="00C33536">
        <w:trPr>
          <w:jc w:val="center"/>
        </w:trPr>
        <w:tc>
          <w:tcPr>
            <w:tcW w:w="3112" w:type="dxa"/>
          </w:tcPr>
          <w:p w14:paraId="545A5DA5" w14:textId="77777777" w:rsidR="00C33536" w:rsidRDefault="00000000">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29C764E0" w14:textId="77777777" w:rsidR="00C33536" w:rsidRDefault="00000000">
            <w:pPr>
              <w:spacing w:line="264" w:lineRule="auto"/>
            </w:pPr>
            <w:r>
              <w:rPr>
                <w:sz w:val="21"/>
                <w:szCs w:val="21"/>
              </w:rPr>
              <w:t>Preserving threaded conversations within channels, allowing users to follow and participate in ongoing discussions.</w:t>
            </w:r>
          </w:p>
        </w:tc>
      </w:tr>
      <w:tr w:rsidR="00C33536" w14:paraId="7B4661D4" w14:textId="77777777" w:rsidTr="00C33536">
        <w:trPr>
          <w:jc w:val="center"/>
        </w:trPr>
        <w:tc>
          <w:tcPr>
            <w:tcW w:w="3112" w:type="dxa"/>
          </w:tcPr>
          <w:p w14:paraId="79C8BA18" w14:textId="77777777" w:rsidR="00C33536" w:rsidRDefault="00000000">
            <w:pPr>
              <w:spacing w:line="264" w:lineRule="auto"/>
            </w:pPr>
            <w:r>
              <w:rPr>
                <w:b/>
                <w:bCs/>
                <w:sz w:val="21"/>
                <w:szCs w:val="21"/>
              </w:rPr>
              <w:t>Attachments</w:t>
            </w:r>
            <w:r>
              <w:rPr>
                <w:sz w:val="21"/>
                <w:szCs w:val="21"/>
              </w:rPr>
              <w:t xml:space="preserve"> </w:t>
            </w:r>
            <w:r>
              <w:rPr>
                <w:sz w:val="21"/>
                <w:szCs w:val="21"/>
              </w:rPr>
              <w:br/>
            </w:r>
          </w:p>
        </w:tc>
        <w:tc>
          <w:tcPr>
            <w:tcW w:w="7602" w:type="dxa"/>
          </w:tcPr>
          <w:p w14:paraId="24982168" w14:textId="77777777" w:rsidR="00C33536" w:rsidRDefault="00000000">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C33536" w14:paraId="638F353F" w14:textId="77777777" w:rsidTr="00C33536">
        <w:trPr>
          <w:jc w:val="center"/>
        </w:trPr>
        <w:tc>
          <w:tcPr>
            <w:tcW w:w="3112" w:type="dxa"/>
          </w:tcPr>
          <w:p w14:paraId="5623F40E" w14:textId="77777777" w:rsidR="00C33536" w:rsidRDefault="00000000">
            <w:pPr>
              <w:spacing w:line="264" w:lineRule="auto"/>
            </w:pPr>
            <w:r>
              <w:rPr>
                <w:b/>
                <w:bCs/>
                <w:sz w:val="21"/>
                <w:szCs w:val="21"/>
              </w:rPr>
              <w:t>User Mentions</w:t>
            </w:r>
          </w:p>
        </w:tc>
        <w:tc>
          <w:tcPr>
            <w:tcW w:w="7602" w:type="dxa"/>
          </w:tcPr>
          <w:p w14:paraId="3C56A89C" w14:textId="77777777" w:rsidR="00C33536" w:rsidRDefault="00000000">
            <w:pPr>
              <w:spacing w:line="264" w:lineRule="auto"/>
            </w:pPr>
            <w:r>
              <w:rPr>
                <w:sz w:val="21"/>
                <w:szCs w:val="21"/>
              </w:rPr>
              <w:t>Retaining user mentions in messages during the migration, ensuring that notifications and references to specific users are preserved.</w:t>
            </w:r>
          </w:p>
        </w:tc>
      </w:tr>
      <w:tr w:rsidR="00C33536" w14:paraId="62256C44" w14:textId="77777777" w:rsidTr="00C33536">
        <w:trPr>
          <w:jc w:val="center"/>
        </w:trPr>
        <w:tc>
          <w:tcPr>
            <w:tcW w:w="3112" w:type="dxa"/>
          </w:tcPr>
          <w:p w14:paraId="07FAA428" w14:textId="77777777" w:rsidR="00C33536" w:rsidRDefault="00000000">
            <w:r>
              <w:rPr>
                <w:b/>
                <w:bCs/>
              </w:rPr>
              <w:t>Emojis:</w:t>
            </w:r>
          </w:p>
        </w:tc>
        <w:tc>
          <w:tcPr>
            <w:tcW w:w="7602" w:type="dxa"/>
          </w:tcPr>
          <w:p w14:paraId="35784615" w14:textId="77777777" w:rsidR="00C33536" w:rsidRDefault="00000000">
            <w:pPr>
              <w:spacing w:line="264" w:lineRule="auto"/>
            </w:pPr>
            <w:r>
              <w:rPr>
                <w:sz w:val="21"/>
                <w:szCs w:val="21"/>
              </w:rPr>
              <w:t>Transferring emojis used in Slack to Teams, maintaining the same expressions and visual elements in the migrated content.</w:t>
            </w:r>
          </w:p>
        </w:tc>
      </w:tr>
      <w:tr w:rsidR="00C33536" w14:paraId="23911BB4" w14:textId="77777777" w:rsidTr="00C33536">
        <w:trPr>
          <w:jc w:val="center"/>
        </w:trPr>
        <w:tc>
          <w:tcPr>
            <w:tcW w:w="3112" w:type="dxa"/>
          </w:tcPr>
          <w:p w14:paraId="50B76856" w14:textId="77777777" w:rsidR="00C33536" w:rsidRDefault="00000000">
            <w:r>
              <w:rPr>
                <w:b/>
                <w:bCs/>
                <w:sz w:val="21"/>
                <w:szCs w:val="21"/>
              </w:rPr>
              <w:t>Migrating slack channels to existing teams</w:t>
            </w:r>
          </w:p>
        </w:tc>
        <w:tc>
          <w:tcPr>
            <w:tcW w:w="7602" w:type="dxa"/>
          </w:tcPr>
          <w:p w14:paraId="272A79D8" w14:textId="77777777" w:rsidR="00C33536" w:rsidRDefault="00000000">
            <w:r>
              <w:rPr>
                <w:sz w:val="21"/>
                <w:szCs w:val="21"/>
              </w:rPr>
              <w:t xml:space="preserve">We can't migrate Slack channels into existing teams in the destination. Instead, we need to create a new team during the process and add channels </w:t>
            </w:r>
            <w:r>
              <w:rPr>
                <w:sz w:val="21"/>
                <w:szCs w:val="21"/>
              </w:rPr>
              <w:lastRenderedPageBreak/>
              <w:t>to that new team.</w:t>
            </w:r>
          </w:p>
        </w:tc>
      </w:tr>
    </w:tbl>
    <w:p w14:paraId="10E07FC4" w14:textId="77777777" w:rsidR="00C33536" w:rsidRDefault="00C33536">
      <w:pPr>
        <w:sectPr w:rsidR="00C33536">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C33536" w14:paraId="7878367D" w14:textId="77777777">
        <w:trPr>
          <w:jc w:val="center"/>
        </w:trPr>
        <w:tc>
          <w:tcPr>
            <w:tcW w:w="10714" w:type="dxa"/>
            <w:shd w:val="clear" w:color="auto" w:fill="93CDDC"/>
          </w:tcPr>
          <w:p w14:paraId="0F923E99" w14:textId="77777777" w:rsidR="00C33536" w:rsidRDefault="00000000">
            <w:pPr>
              <w:jc w:val="center"/>
            </w:pPr>
            <w:r>
              <w:rPr>
                <w:b/>
                <w:bCs/>
                <w:sz w:val="24"/>
                <w:szCs w:val="24"/>
                <w:shd w:val="clear" w:color="auto" w:fill="B6DDE8"/>
              </w:rPr>
              <w:lastRenderedPageBreak/>
              <w:t>Exhibit 2- NOT INCLUDED IN MIGRATION</w:t>
            </w:r>
          </w:p>
        </w:tc>
      </w:tr>
    </w:tbl>
    <w:p w14:paraId="36CF617B" w14:textId="77777777" w:rsidR="00C33536" w:rsidRDefault="00C33536">
      <w:pPr>
        <w:spacing w:after="0" w:line="240" w:lineRule="auto"/>
      </w:pPr>
    </w:p>
    <w:tbl>
      <w:tblPr>
        <w:tblStyle w:val="TableGridWithHeader"/>
        <w:tblW w:w="0" w:type="auto"/>
        <w:jc w:val="center"/>
        <w:tblLook w:val="04A0" w:firstRow="1" w:lastRow="0" w:firstColumn="1" w:lastColumn="0" w:noHBand="0" w:noVBand="1"/>
      </w:tblPr>
      <w:tblGrid>
        <w:gridCol w:w="2870"/>
        <w:gridCol w:w="7828"/>
      </w:tblGrid>
      <w:tr w:rsidR="00C33536" w14:paraId="78F088F4" w14:textId="77777777" w:rsidTr="00C33536">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4CDB8021" w14:textId="77777777" w:rsidR="00C33536" w:rsidRDefault="00C33536"/>
        </w:tc>
        <w:tc>
          <w:tcPr>
            <w:tcW w:w="7841" w:type="dxa"/>
          </w:tcPr>
          <w:p w14:paraId="1BCF40AA" w14:textId="77777777" w:rsidR="00C33536" w:rsidRDefault="00000000">
            <w:r>
              <w:rPr>
                <w:b w:val="0"/>
                <w:bCs w:val="0"/>
              </w:rPr>
              <w:t>NOT INCLUDED IN SLACK TO TEAMS MIGRATION FEATURES</w:t>
            </w:r>
          </w:p>
        </w:tc>
      </w:tr>
      <w:tr w:rsidR="00C33536" w14:paraId="24F628CC" w14:textId="77777777" w:rsidTr="00C33536">
        <w:trPr>
          <w:jc w:val="center"/>
        </w:trPr>
        <w:tc>
          <w:tcPr>
            <w:tcW w:w="2873" w:type="dxa"/>
          </w:tcPr>
          <w:p w14:paraId="3EC2F89E" w14:textId="77777777" w:rsidR="00C33536" w:rsidRDefault="00000000">
            <w:r>
              <w:rPr>
                <w:b/>
                <w:bCs/>
                <w:sz w:val="21"/>
                <w:szCs w:val="21"/>
              </w:rPr>
              <w:t>Bot integrations</w:t>
            </w:r>
          </w:p>
        </w:tc>
        <w:tc>
          <w:tcPr>
            <w:tcW w:w="7841" w:type="dxa"/>
          </w:tcPr>
          <w:p w14:paraId="58C8A887" w14:textId="77777777" w:rsidR="00C33536" w:rsidRDefault="00000000">
            <w:r>
              <w:rPr>
                <w:sz w:val="21"/>
                <w:szCs w:val="21"/>
              </w:rPr>
              <w:t>Slack bot integrations within direct messages (DMs) and channels will not be transferred to the destination workspace during migration.</w:t>
            </w:r>
          </w:p>
        </w:tc>
      </w:tr>
      <w:tr w:rsidR="00C33536" w14:paraId="48382C41" w14:textId="77777777" w:rsidTr="00C33536">
        <w:trPr>
          <w:jc w:val="center"/>
        </w:trPr>
        <w:tc>
          <w:tcPr>
            <w:tcW w:w="2873" w:type="dxa"/>
          </w:tcPr>
          <w:p w14:paraId="1287E737" w14:textId="77777777" w:rsidR="00C33536" w:rsidRDefault="00000000">
            <w:r>
              <w:rPr>
                <w:b/>
                <w:bCs/>
                <w:sz w:val="21"/>
                <w:szCs w:val="21"/>
              </w:rPr>
              <w:t>Custom emojis</w:t>
            </w:r>
          </w:p>
        </w:tc>
        <w:tc>
          <w:tcPr>
            <w:tcW w:w="7841" w:type="dxa"/>
          </w:tcPr>
          <w:p w14:paraId="02BDD8F0" w14:textId="77777777" w:rsidR="00C33536" w:rsidRDefault="00000000">
            <w:r>
              <w:rPr>
                <w:sz w:val="21"/>
                <w:szCs w:val="21"/>
              </w:rPr>
              <w:t>Custom emojis within slack dm's and channels will not be transferred to teams.</w:t>
            </w:r>
          </w:p>
        </w:tc>
      </w:tr>
      <w:tr w:rsidR="00C33536" w14:paraId="4E134B2C" w14:textId="77777777" w:rsidTr="00C33536">
        <w:trPr>
          <w:jc w:val="center"/>
        </w:trPr>
        <w:tc>
          <w:tcPr>
            <w:tcW w:w="2873" w:type="dxa"/>
          </w:tcPr>
          <w:p w14:paraId="2E0694E1" w14:textId="77777777" w:rsidR="00C33536" w:rsidRDefault="00000000">
            <w:r>
              <w:rPr>
                <w:b/>
                <w:bCs/>
                <w:sz w:val="21"/>
                <w:szCs w:val="21"/>
              </w:rPr>
              <w:t>Reactions</w:t>
            </w:r>
          </w:p>
        </w:tc>
        <w:tc>
          <w:tcPr>
            <w:tcW w:w="7841" w:type="dxa"/>
          </w:tcPr>
          <w:p w14:paraId="4D8A4F5C" w14:textId="77777777" w:rsidR="00C33536" w:rsidRDefault="00000000">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C33536" w14:paraId="4D0CE4E6" w14:textId="77777777" w:rsidTr="00C33536">
        <w:trPr>
          <w:jc w:val="center"/>
        </w:trPr>
        <w:tc>
          <w:tcPr>
            <w:tcW w:w="2873" w:type="dxa"/>
          </w:tcPr>
          <w:p w14:paraId="5537AD27" w14:textId="77777777" w:rsidR="00C33536" w:rsidRDefault="00000000">
            <w:r>
              <w:rPr>
                <w:b/>
                <w:bCs/>
                <w:sz w:val="21"/>
                <w:szCs w:val="21"/>
              </w:rPr>
              <w:t>Deactivated user DM's</w:t>
            </w:r>
          </w:p>
        </w:tc>
        <w:tc>
          <w:tcPr>
            <w:tcW w:w="7841" w:type="dxa"/>
          </w:tcPr>
          <w:p w14:paraId="53FA86A9" w14:textId="77777777" w:rsidR="00C33536" w:rsidRDefault="00000000">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C33536" w14:paraId="0E9CCDEF" w14:textId="77777777" w:rsidTr="00C33536">
        <w:trPr>
          <w:jc w:val="center"/>
        </w:trPr>
        <w:tc>
          <w:tcPr>
            <w:tcW w:w="2873" w:type="dxa"/>
          </w:tcPr>
          <w:p w14:paraId="02B62DCA" w14:textId="77777777" w:rsidR="00C33536" w:rsidRDefault="00000000">
            <w:r>
              <w:rPr>
                <w:b/>
                <w:bCs/>
              </w:rPr>
              <w:t>DM's/Groups Replies</w:t>
            </w:r>
          </w:p>
        </w:tc>
        <w:tc>
          <w:tcPr>
            <w:tcW w:w="7841" w:type="dxa"/>
          </w:tcPr>
          <w:p w14:paraId="220756E2" w14:textId="77777777" w:rsidR="00C33536" w:rsidRDefault="00000000">
            <w:r>
              <w:t xml:space="preserve">We cannot migrate Replies of direct messages and groups </w:t>
            </w:r>
          </w:p>
        </w:tc>
      </w:tr>
      <w:tr w:rsidR="00C33536" w14:paraId="1E470177" w14:textId="77777777" w:rsidTr="00C33536">
        <w:trPr>
          <w:jc w:val="center"/>
        </w:trPr>
        <w:tc>
          <w:tcPr>
            <w:tcW w:w="2873" w:type="dxa"/>
          </w:tcPr>
          <w:p w14:paraId="30950C49" w14:textId="77777777" w:rsidR="00C33536" w:rsidRDefault="00000000">
            <w:pPr>
              <w:spacing w:line="264" w:lineRule="auto"/>
            </w:pPr>
            <w:r>
              <w:rPr>
                <w:b/>
                <w:bCs/>
                <w:sz w:val="21"/>
                <w:szCs w:val="21"/>
              </w:rPr>
              <w:t>Pre-Scan</w:t>
            </w:r>
          </w:p>
        </w:tc>
        <w:tc>
          <w:tcPr>
            <w:tcW w:w="7841" w:type="dxa"/>
          </w:tcPr>
          <w:p w14:paraId="61052AC7" w14:textId="77777777" w:rsidR="00C33536" w:rsidRDefault="00000000">
            <w:pPr>
              <w:spacing w:line="264" w:lineRule="auto"/>
            </w:pPr>
            <w:r>
              <w:rPr>
                <w:sz w:val="21"/>
                <w:szCs w:val="21"/>
              </w:rPr>
              <w:t>Conducting a preliminary scan or analysis of the Slack data to identify and prepare for any potential migration challenges or issues.</w:t>
            </w:r>
          </w:p>
        </w:tc>
      </w:tr>
      <w:tr w:rsidR="00C33536" w14:paraId="08894695" w14:textId="77777777" w:rsidTr="00C33536">
        <w:trPr>
          <w:jc w:val="center"/>
        </w:trPr>
        <w:tc>
          <w:tcPr>
            <w:tcW w:w="2873" w:type="dxa"/>
          </w:tcPr>
          <w:p w14:paraId="250FFEA9" w14:textId="77777777" w:rsidR="00C33536" w:rsidRDefault="00000000">
            <w:pPr>
              <w:spacing w:line="264" w:lineRule="auto"/>
            </w:pPr>
            <w:r>
              <w:rPr>
                <w:b/>
                <w:bCs/>
                <w:sz w:val="21"/>
                <w:szCs w:val="21"/>
              </w:rPr>
              <w:t>Direct Messages Migration</w:t>
            </w:r>
          </w:p>
        </w:tc>
        <w:tc>
          <w:tcPr>
            <w:tcW w:w="7841" w:type="dxa"/>
          </w:tcPr>
          <w:p w14:paraId="71A9575C" w14:textId="77777777" w:rsidR="00C33536" w:rsidRDefault="00000000">
            <w:pPr>
              <w:spacing w:line="264" w:lineRule="auto"/>
            </w:pPr>
            <w:r>
              <w:rPr>
                <w:sz w:val="21"/>
                <w:szCs w:val="21"/>
              </w:rPr>
              <w:t>Migrating one-on-one conversations or direct messages from Slack to Teams, ensuring that private communication is transferred securely.</w:t>
            </w:r>
          </w:p>
        </w:tc>
      </w:tr>
      <w:tr w:rsidR="00C33536" w14:paraId="795C6532" w14:textId="77777777" w:rsidTr="00C33536">
        <w:trPr>
          <w:jc w:val="center"/>
        </w:trPr>
        <w:tc>
          <w:tcPr>
            <w:tcW w:w="2873" w:type="dxa"/>
          </w:tcPr>
          <w:p w14:paraId="156573CF" w14:textId="77777777" w:rsidR="00C33536" w:rsidRDefault="00000000">
            <w:pPr>
              <w:spacing w:line="264" w:lineRule="auto"/>
            </w:pPr>
            <w:r>
              <w:rPr>
                <w:b/>
                <w:bCs/>
                <w:sz w:val="21"/>
                <w:szCs w:val="21"/>
              </w:rPr>
              <w:t>User Groups</w:t>
            </w:r>
          </w:p>
        </w:tc>
        <w:tc>
          <w:tcPr>
            <w:tcW w:w="7841" w:type="dxa"/>
          </w:tcPr>
          <w:p w14:paraId="70189015" w14:textId="77777777" w:rsidR="00C33536" w:rsidRDefault="00000000">
            <w:pPr>
              <w:spacing w:line="264" w:lineRule="auto"/>
            </w:pPr>
            <w:r>
              <w:rPr>
                <w:sz w:val="21"/>
                <w:szCs w:val="21"/>
              </w:rPr>
              <w:t>Transferring user groups or teams from Slack to Teams, preserving the group structure and membership for seamless collaboration.</w:t>
            </w:r>
          </w:p>
        </w:tc>
      </w:tr>
      <w:tr w:rsidR="00C33536" w14:paraId="1DB4AD83" w14:textId="77777777" w:rsidTr="00C33536">
        <w:trPr>
          <w:jc w:val="center"/>
        </w:trPr>
        <w:tc>
          <w:tcPr>
            <w:tcW w:w="2873" w:type="dxa"/>
          </w:tcPr>
          <w:p w14:paraId="68A31AD5" w14:textId="77777777" w:rsidR="00C33536" w:rsidRDefault="00000000">
            <w:pPr>
              <w:spacing w:line="264" w:lineRule="auto"/>
            </w:pPr>
            <w:proofErr w:type="spellStart"/>
            <w:r>
              <w:rPr>
                <w:b/>
                <w:bCs/>
                <w:sz w:val="21"/>
                <w:szCs w:val="21"/>
              </w:rPr>
              <w:t>Self Messages</w:t>
            </w:r>
            <w:proofErr w:type="spellEnd"/>
            <w:r>
              <w:rPr>
                <w:sz w:val="21"/>
                <w:szCs w:val="21"/>
              </w:rPr>
              <w:t xml:space="preserve"> </w:t>
            </w:r>
            <w:r>
              <w:rPr>
                <w:sz w:val="21"/>
                <w:szCs w:val="21"/>
              </w:rPr>
              <w:br/>
            </w:r>
          </w:p>
        </w:tc>
        <w:tc>
          <w:tcPr>
            <w:tcW w:w="7841" w:type="dxa"/>
          </w:tcPr>
          <w:p w14:paraId="54495E54" w14:textId="77777777" w:rsidR="00C33536" w:rsidRDefault="00000000">
            <w:r>
              <w:t>​</w:t>
            </w:r>
            <w:r>
              <w:rPr>
                <w:sz w:val="21"/>
                <w:szCs w:val="21"/>
              </w:rPr>
              <w:t>Transferring regular messages from Slack to Teams, including text-based communication which user sent to himself.</w:t>
            </w:r>
          </w:p>
        </w:tc>
      </w:tr>
    </w:tbl>
    <w:p w14:paraId="37712AC5" w14:textId="77777777" w:rsidR="00C33536" w:rsidRDefault="00C33536">
      <w:pPr>
        <w:spacing w:after="0" w:line="240" w:lineRule="auto"/>
      </w:pPr>
    </w:p>
    <w:p w14:paraId="0B82998B" w14:textId="77777777" w:rsidR="00C33536" w:rsidRDefault="00C33536">
      <w:pPr>
        <w:pStyle w:val="PDParagraphDefault"/>
      </w:pPr>
    </w:p>
    <w:p w14:paraId="2C491209" w14:textId="77777777" w:rsidR="00C33536" w:rsidRDefault="00C33536">
      <w:pPr>
        <w:spacing w:after="0" w:line="240" w:lineRule="auto"/>
      </w:pPr>
    </w:p>
    <w:p w14:paraId="0A45A104" w14:textId="77777777" w:rsidR="00C33536" w:rsidRDefault="00C33536">
      <w:pPr>
        <w:pStyle w:val="PDParagraphDefault"/>
      </w:pPr>
    </w:p>
    <w:p w14:paraId="2C3EBD58" w14:textId="77777777" w:rsidR="00C33536" w:rsidRDefault="00C33536">
      <w:pPr>
        <w:spacing w:after="0" w:line="240" w:lineRule="auto"/>
      </w:pPr>
    </w:p>
    <w:p w14:paraId="7DF296DB" w14:textId="77777777" w:rsidR="00C33536" w:rsidRDefault="00C33536">
      <w:pPr>
        <w:pStyle w:val="PDParagraphDefault"/>
      </w:pPr>
    </w:p>
    <w:sectPr w:rsidR="00C33536">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FA8EB" w14:textId="77777777" w:rsidR="00C77FD2" w:rsidRDefault="00C77FD2">
      <w:pPr>
        <w:spacing w:after="0" w:line="240" w:lineRule="auto"/>
      </w:pPr>
      <w:r>
        <w:separator/>
      </w:r>
    </w:p>
  </w:endnote>
  <w:endnote w:type="continuationSeparator" w:id="0">
    <w:p w14:paraId="74F8B90B" w14:textId="77777777" w:rsidR="00C77FD2" w:rsidRDefault="00C7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28B3"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E5B18EA"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7D7CA8F" w14:textId="77777777" w:rsidR="00C33536" w:rsidRDefault="00C33536">
    <w:pPr>
      <w:pStyle w:val="PDFooter"/>
      <w:jc w:val="center"/>
    </w:pPr>
  </w:p>
  <w:p w14:paraId="6C82AC09" w14:textId="77777777" w:rsidR="00C33536" w:rsidRDefault="00C33536">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FE2BB"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E69C7CB"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B22A8DD" w14:textId="77777777" w:rsidR="00C33536" w:rsidRDefault="00C33536">
    <w:pPr>
      <w:pStyle w:val="PDFooter"/>
      <w:jc w:val="center"/>
    </w:pPr>
  </w:p>
  <w:p w14:paraId="3BB4F257" w14:textId="77777777" w:rsidR="00C33536" w:rsidRDefault="00C33536">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6941"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39AED14"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9860BE1" w14:textId="77777777" w:rsidR="00C33536" w:rsidRDefault="00C33536">
    <w:pPr>
      <w:pStyle w:val="PDFooter"/>
      <w:jc w:val="center"/>
    </w:pPr>
  </w:p>
  <w:p w14:paraId="36829AFE" w14:textId="77777777" w:rsidR="00C33536" w:rsidRDefault="00C33536">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72339"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CF3EC4"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BA79EC0" w14:textId="77777777" w:rsidR="00C33536" w:rsidRDefault="00C33536">
    <w:pPr>
      <w:pStyle w:val="PDFooter"/>
      <w:jc w:val="center"/>
    </w:pPr>
  </w:p>
  <w:p w14:paraId="0881F269" w14:textId="77777777" w:rsidR="00C33536" w:rsidRDefault="00C33536">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FDDB"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FA49620"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81FFBC1" w14:textId="77777777" w:rsidR="00C33536" w:rsidRDefault="00C33536">
    <w:pPr>
      <w:pStyle w:val="PDFooter"/>
      <w:jc w:val="center"/>
    </w:pPr>
  </w:p>
  <w:p w14:paraId="4E09E272" w14:textId="77777777" w:rsidR="00C33536" w:rsidRDefault="00C33536">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56E8"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951C69D"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13D680D" w14:textId="77777777" w:rsidR="00C33536" w:rsidRDefault="00C33536">
    <w:pPr>
      <w:pStyle w:val="PDFooter"/>
      <w:jc w:val="center"/>
    </w:pPr>
  </w:p>
  <w:p w14:paraId="3BCD8DAB" w14:textId="77777777" w:rsidR="00C33536" w:rsidRDefault="00C33536">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7E340"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705ED56"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96EC30C" w14:textId="77777777" w:rsidR="00C33536" w:rsidRDefault="00C33536">
    <w:pPr>
      <w:pStyle w:val="PDFooter"/>
      <w:jc w:val="center"/>
    </w:pPr>
  </w:p>
  <w:p w14:paraId="093D9627" w14:textId="77777777" w:rsidR="00C33536" w:rsidRDefault="00C33536">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B8E3"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DC5D4CD"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9818B86" w14:textId="77777777" w:rsidR="00C33536" w:rsidRDefault="00C33536">
    <w:pPr>
      <w:pStyle w:val="PDFooter"/>
      <w:jc w:val="center"/>
    </w:pPr>
  </w:p>
  <w:p w14:paraId="39D25F5C" w14:textId="77777777" w:rsidR="00C33536" w:rsidRDefault="00C33536">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CEB0B" w14:textId="77777777" w:rsidR="00C33536"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E71C24A" w14:textId="77777777" w:rsidR="00C33536"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D375AB0" w14:textId="77777777" w:rsidR="00C33536" w:rsidRDefault="00C33536">
    <w:pPr>
      <w:pStyle w:val="PDFooter"/>
      <w:jc w:val="center"/>
    </w:pPr>
  </w:p>
  <w:p w14:paraId="3F9EE88E" w14:textId="77777777" w:rsidR="00C33536" w:rsidRDefault="00C33536">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FAA27" w14:textId="77777777" w:rsidR="00C77FD2" w:rsidRDefault="00C77FD2">
      <w:pPr>
        <w:spacing w:after="0" w:line="240" w:lineRule="auto"/>
      </w:pPr>
      <w:r>
        <w:separator/>
      </w:r>
    </w:p>
  </w:footnote>
  <w:footnote w:type="continuationSeparator" w:id="0">
    <w:p w14:paraId="272F3B59" w14:textId="77777777" w:rsidR="00C77FD2" w:rsidRDefault="00C77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D5540" w14:textId="77777777" w:rsidR="00C33536" w:rsidRDefault="00C33536">
    <w:pPr>
      <w:pStyle w:val="PDHeader"/>
    </w:pPr>
  </w:p>
  <w:p w14:paraId="2E9C2968"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7A31C31B" w14:textId="77777777">
      <w:tblPrEx>
        <w:tblCellMar>
          <w:top w:w="0" w:type="dxa"/>
          <w:left w:w="0" w:type="dxa"/>
        </w:tblCellMar>
      </w:tblPrEx>
      <w:trPr>
        <w:jc w:val="center"/>
      </w:trPr>
      <w:tc>
        <w:tcPr>
          <w:tcW w:w="2741" w:type="dxa"/>
        </w:tcPr>
        <w:p w14:paraId="37ED3441" w14:textId="77777777" w:rsidR="00C33536" w:rsidRDefault="00000000">
          <w:pPr>
            <w:jc w:val="center"/>
          </w:pPr>
          <w:r>
            <w:rPr>
              <w:noProof/>
            </w:rPr>
            <w:drawing>
              <wp:inline distT="0" distB="0" distL="0" distR="0" wp14:anchorId="57AED5C4" wp14:editId="694BB04B">
                <wp:extent cx="1066800" cy="1066800"/>
                <wp:effectExtent l="0" t="0" r="0" b="0"/>
                <wp:docPr id="1080169077" name="Picture 108016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1FA614E" w14:textId="77777777" w:rsidR="00C33536" w:rsidRDefault="00C33536">
          <w:pPr>
            <w:pStyle w:val="PDHeader"/>
          </w:pPr>
        </w:p>
      </w:tc>
      <w:tc>
        <w:tcPr>
          <w:tcW w:w="3732" w:type="dxa"/>
        </w:tcPr>
        <w:p w14:paraId="1D73AFF3" w14:textId="77777777" w:rsidR="00C33536" w:rsidRDefault="00000000">
          <w:pPr>
            <w:jc w:val="center"/>
          </w:pPr>
          <w:r>
            <w:rPr>
              <w:noProof/>
            </w:rPr>
            <w:drawing>
              <wp:inline distT="0" distB="0" distL="0" distR="0" wp14:anchorId="17B72343" wp14:editId="67D07809">
                <wp:extent cx="1638300" cy="600075"/>
                <wp:effectExtent l="0" t="0" r="0" b="0"/>
                <wp:docPr id="545755062" name="Picture 54575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6733" w14:textId="77777777" w:rsidR="00C33536" w:rsidRDefault="00C33536">
    <w:pPr>
      <w:pStyle w:val="PDHeader"/>
    </w:pPr>
  </w:p>
  <w:p w14:paraId="55CFC2B4"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24848C0A" w14:textId="77777777">
      <w:tblPrEx>
        <w:tblCellMar>
          <w:top w:w="0" w:type="dxa"/>
          <w:left w:w="0" w:type="dxa"/>
        </w:tblCellMar>
      </w:tblPrEx>
      <w:trPr>
        <w:jc w:val="center"/>
      </w:trPr>
      <w:tc>
        <w:tcPr>
          <w:tcW w:w="2741" w:type="dxa"/>
        </w:tcPr>
        <w:p w14:paraId="1E6D4F8E" w14:textId="77777777" w:rsidR="00C33536" w:rsidRDefault="00000000">
          <w:pPr>
            <w:jc w:val="center"/>
          </w:pPr>
          <w:r>
            <w:rPr>
              <w:noProof/>
            </w:rPr>
            <w:drawing>
              <wp:inline distT="0" distB="0" distL="0" distR="0" wp14:anchorId="4399E209" wp14:editId="01815B46">
                <wp:extent cx="1066800" cy="1066800"/>
                <wp:effectExtent l="0" t="0" r="0" b="0"/>
                <wp:docPr id="443935319" name="Picture 44393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291BE18" w14:textId="77777777" w:rsidR="00C33536" w:rsidRDefault="00C33536">
          <w:pPr>
            <w:pStyle w:val="PDHeader"/>
          </w:pPr>
        </w:p>
      </w:tc>
      <w:tc>
        <w:tcPr>
          <w:tcW w:w="3732" w:type="dxa"/>
        </w:tcPr>
        <w:p w14:paraId="0C3691D0" w14:textId="77777777" w:rsidR="00C33536" w:rsidRDefault="00000000">
          <w:pPr>
            <w:jc w:val="center"/>
          </w:pPr>
          <w:r>
            <w:rPr>
              <w:noProof/>
            </w:rPr>
            <w:drawing>
              <wp:inline distT="0" distB="0" distL="0" distR="0" wp14:anchorId="5A974466" wp14:editId="7827F131">
                <wp:extent cx="1638300" cy="600075"/>
                <wp:effectExtent l="0" t="0" r="0" b="0"/>
                <wp:docPr id="1797962229" name="Picture 179796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2A1E" w14:textId="77777777" w:rsidR="00C33536" w:rsidRDefault="00C33536">
    <w:pPr>
      <w:pStyle w:val="PDHeader"/>
    </w:pPr>
  </w:p>
  <w:p w14:paraId="245596EB"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578EDD2F" w14:textId="77777777">
      <w:tblPrEx>
        <w:tblCellMar>
          <w:top w:w="0" w:type="dxa"/>
          <w:left w:w="0" w:type="dxa"/>
        </w:tblCellMar>
      </w:tblPrEx>
      <w:trPr>
        <w:jc w:val="center"/>
      </w:trPr>
      <w:tc>
        <w:tcPr>
          <w:tcW w:w="2741" w:type="dxa"/>
        </w:tcPr>
        <w:p w14:paraId="028B7CEF" w14:textId="77777777" w:rsidR="00C33536" w:rsidRDefault="00000000">
          <w:pPr>
            <w:jc w:val="center"/>
          </w:pPr>
          <w:r>
            <w:rPr>
              <w:noProof/>
            </w:rPr>
            <w:drawing>
              <wp:inline distT="0" distB="0" distL="0" distR="0" wp14:anchorId="2F5CDEEF" wp14:editId="18E153AA">
                <wp:extent cx="1066800" cy="1066800"/>
                <wp:effectExtent l="0" t="0" r="0" b="0"/>
                <wp:docPr id="915775115" name="Picture 91577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C447BD8" w14:textId="77777777" w:rsidR="00C33536" w:rsidRDefault="00C33536">
          <w:pPr>
            <w:pStyle w:val="PDHeader"/>
          </w:pPr>
        </w:p>
      </w:tc>
      <w:tc>
        <w:tcPr>
          <w:tcW w:w="3732" w:type="dxa"/>
        </w:tcPr>
        <w:p w14:paraId="2A4FEEF4" w14:textId="77777777" w:rsidR="00C33536" w:rsidRDefault="00000000">
          <w:pPr>
            <w:jc w:val="center"/>
          </w:pPr>
          <w:r>
            <w:rPr>
              <w:noProof/>
            </w:rPr>
            <w:drawing>
              <wp:inline distT="0" distB="0" distL="0" distR="0" wp14:anchorId="17535642" wp14:editId="7320EFF9">
                <wp:extent cx="1638300" cy="600075"/>
                <wp:effectExtent l="0" t="0" r="0" b="0"/>
                <wp:docPr id="404296848" name="Picture 40429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CD3E1" w14:textId="77777777" w:rsidR="00C33536" w:rsidRDefault="00C33536">
    <w:pPr>
      <w:pStyle w:val="PDHeader"/>
    </w:pPr>
  </w:p>
  <w:p w14:paraId="4C193AAD"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5CC979BA" w14:textId="77777777">
      <w:tblPrEx>
        <w:tblCellMar>
          <w:top w:w="0" w:type="dxa"/>
          <w:left w:w="0" w:type="dxa"/>
        </w:tblCellMar>
      </w:tblPrEx>
      <w:trPr>
        <w:jc w:val="center"/>
      </w:trPr>
      <w:tc>
        <w:tcPr>
          <w:tcW w:w="2741" w:type="dxa"/>
        </w:tcPr>
        <w:p w14:paraId="7EECD3D0" w14:textId="77777777" w:rsidR="00C33536" w:rsidRDefault="00000000">
          <w:pPr>
            <w:jc w:val="center"/>
          </w:pPr>
          <w:r>
            <w:rPr>
              <w:noProof/>
            </w:rPr>
            <w:drawing>
              <wp:inline distT="0" distB="0" distL="0" distR="0" wp14:anchorId="51A32708" wp14:editId="7B1D363E">
                <wp:extent cx="1066800" cy="1066800"/>
                <wp:effectExtent l="0" t="0" r="0" b="0"/>
                <wp:docPr id="758948656" name="Picture 75894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E86D204" w14:textId="77777777" w:rsidR="00C33536" w:rsidRDefault="00C33536">
          <w:pPr>
            <w:pStyle w:val="PDHeader"/>
          </w:pPr>
        </w:p>
      </w:tc>
      <w:tc>
        <w:tcPr>
          <w:tcW w:w="3732" w:type="dxa"/>
        </w:tcPr>
        <w:p w14:paraId="7533BC3D" w14:textId="77777777" w:rsidR="00C33536" w:rsidRDefault="00000000">
          <w:pPr>
            <w:jc w:val="center"/>
          </w:pPr>
          <w:r>
            <w:rPr>
              <w:noProof/>
            </w:rPr>
            <w:drawing>
              <wp:inline distT="0" distB="0" distL="0" distR="0" wp14:anchorId="2AB6EEA6" wp14:editId="46EE0F2D">
                <wp:extent cx="1638300" cy="600075"/>
                <wp:effectExtent l="0" t="0" r="0" b="0"/>
                <wp:docPr id="2022158610" name="Picture 2022158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A876C" w14:textId="77777777" w:rsidR="00C33536" w:rsidRDefault="00C33536">
    <w:pPr>
      <w:pStyle w:val="PDHeader"/>
    </w:pPr>
  </w:p>
  <w:p w14:paraId="783A1BB7"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1DC826D9" w14:textId="77777777">
      <w:tblPrEx>
        <w:tblCellMar>
          <w:top w:w="0" w:type="dxa"/>
          <w:left w:w="0" w:type="dxa"/>
        </w:tblCellMar>
      </w:tblPrEx>
      <w:trPr>
        <w:jc w:val="center"/>
      </w:trPr>
      <w:tc>
        <w:tcPr>
          <w:tcW w:w="2741" w:type="dxa"/>
        </w:tcPr>
        <w:p w14:paraId="68462161" w14:textId="77777777" w:rsidR="00C33536" w:rsidRDefault="00000000">
          <w:pPr>
            <w:jc w:val="center"/>
          </w:pPr>
          <w:r>
            <w:rPr>
              <w:noProof/>
            </w:rPr>
            <w:drawing>
              <wp:inline distT="0" distB="0" distL="0" distR="0" wp14:anchorId="35C90604" wp14:editId="7BF8AB08">
                <wp:extent cx="1066800" cy="1066800"/>
                <wp:effectExtent l="0" t="0" r="0" b="0"/>
                <wp:docPr id="1763496017" name="Picture 176349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7B87A3" w14:textId="77777777" w:rsidR="00C33536" w:rsidRDefault="00C33536">
          <w:pPr>
            <w:pStyle w:val="PDHeader"/>
          </w:pPr>
        </w:p>
      </w:tc>
      <w:tc>
        <w:tcPr>
          <w:tcW w:w="3732" w:type="dxa"/>
        </w:tcPr>
        <w:p w14:paraId="4F0F6CA7" w14:textId="77777777" w:rsidR="00C33536" w:rsidRDefault="00000000">
          <w:pPr>
            <w:jc w:val="center"/>
          </w:pPr>
          <w:r>
            <w:rPr>
              <w:noProof/>
            </w:rPr>
            <w:drawing>
              <wp:inline distT="0" distB="0" distL="0" distR="0" wp14:anchorId="0DC63B1C" wp14:editId="08D6558D">
                <wp:extent cx="1638300" cy="600075"/>
                <wp:effectExtent l="0" t="0" r="0" b="0"/>
                <wp:docPr id="45297520" name="Picture 4529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D976" w14:textId="77777777" w:rsidR="00C33536" w:rsidRDefault="00C33536">
    <w:pPr>
      <w:pStyle w:val="PDHeader"/>
    </w:pPr>
  </w:p>
  <w:p w14:paraId="4A38426F"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027D4807" w14:textId="77777777">
      <w:tblPrEx>
        <w:tblCellMar>
          <w:top w:w="0" w:type="dxa"/>
          <w:left w:w="0" w:type="dxa"/>
        </w:tblCellMar>
      </w:tblPrEx>
      <w:trPr>
        <w:jc w:val="center"/>
      </w:trPr>
      <w:tc>
        <w:tcPr>
          <w:tcW w:w="2741" w:type="dxa"/>
        </w:tcPr>
        <w:p w14:paraId="6B59697F" w14:textId="77777777" w:rsidR="00C33536" w:rsidRDefault="00000000">
          <w:pPr>
            <w:jc w:val="center"/>
          </w:pPr>
          <w:r>
            <w:rPr>
              <w:noProof/>
            </w:rPr>
            <w:drawing>
              <wp:inline distT="0" distB="0" distL="0" distR="0" wp14:anchorId="219CB46D" wp14:editId="13C287E7">
                <wp:extent cx="1066800" cy="1066800"/>
                <wp:effectExtent l="0" t="0" r="0" b="0"/>
                <wp:docPr id="956952534" name="Picture 95695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03130C9" w14:textId="77777777" w:rsidR="00C33536" w:rsidRDefault="00C33536">
          <w:pPr>
            <w:pStyle w:val="PDHeader"/>
          </w:pPr>
        </w:p>
      </w:tc>
      <w:tc>
        <w:tcPr>
          <w:tcW w:w="3732" w:type="dxa"/>
        </w:tcPr>
        <w:p w14:paraId="5A296E67" w14:textId="77777777" w:rsidR="00C33536" w:rsidRDefault="00000000">
          <w:pPr>
            <w:jc w:val="center"/>
          </w:pPr>
          <w:r>
            <w:rPr>
              <w:noProof/>
            </w:rPr>
            <w:drawing>
              <wp:inline distT="0" distB="0" distL="0" distR="0" wp14:anchorId="28E45547" wp14:editId="5AA84CA6">
                <wp:extent cx="1638300" cy="600075"/>
                <wp:effectExtent l="0" t="0" r="0" b="0"/>
                <wp:docPr id="639424170" name="Picture 63942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7400" w14:textId="77777777" w:rsidR="00C33536" w:rsidRDefault="00C33536">
    <w:pPr>
      <w:pStyle w:val="PDHeader"/>
    </w:pPr>
  </w:p>
  <w:p w14:paraId="2084CFC3"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1103A84C" w14:textId="77777777">
      <w:tblPrEx>
        <w:tblCellMar>
          <w:top w:w="0" w:type="dxa"/>
          <w:left w:w="0" w:type="dxa"/>
        </w:tblCellMar>
      </w:tblPrEx>
      <w:trPr>
        <w:jc w:val="center"/>
      </w:trPr>
      <w:tc>
        <w:tcPr>
          <w:tcW w:w="2741" w:type="dxa"/>
        </w:tcPr>
        <w:p w14:paraId="22232251" w14:textId="77777777" w:rsidR="00C33536" w:rsidRDefault="00000000">
          <w:pPr>
            <w:jc w:val="center"/>
          </w:pPr>
          <w:r>
            <w:rPr>
              <w:noProof/>
            </w:rPr>
            <w:drawing>
              <wp:inline distT="0" distB="0" distL="0" distR="0" wp14:anchorId="05915D91" wp14:editId="34BF2E50">
                <wp:extent cx="1066800" cy="1066800"/>
                <wp:effectExtent l="0" t="0" r="0" b="0"/>
                <wp:docPr id="1937665087" name="Picture 193766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8E832ED" w14:textId="77777777" w:rsidR="00C33536" w:rsidRDefault="00C33536">
          <w:pPr>
            <w:pStyle w:val="PDHeader"/>
          </w:pPr>
        </w:p>
      </w:tc>
      <w:tc>
        <w:tcPr>
          <w:tcW w:w="3732" w:type="dxa"/>
        </w:tcPr>
        <w:p w14:paraId="3EF67C19" w14:textId="77777777" w:rsidR="00C33536" w:rsidRDefault="00000000">
          <w:pPr>
            <w:jc w:val="center"/>
          </w:pPr>
          <w:r>
            <w:rPr>
              <w:noProof/>
            </w:rPr>
            <w:drawing>
              <wp:inline distT="0" distB="0" distL="0" distR="0" wp14:anchorId="2560741A" wp14:editId="0052D667">
                <wp:extent cx="1638300" cy="600075"/>
                <wp:effectExtent l="0" t="0" r="0" b="0"/>
                <wp:docPr id="1353038793" name="Picture 135303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F3E82" w14:textId="77777777" w:rsidR="00C33536" w:rsidRDefault="00C33536">
    <w:pPr>
      <w:pStyle w:val="PDHeader"/>
    </w:pPr>
  </w:p>
  <w:p w14:paraId="6D7DD91D"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7D821EFB" w14:textId="77777777">
      <w:tblPrEx>
        <w:tblCellMar>
          <w:top w:w="0" w:type="dxa"/>
          <w:left w:w="0" w:type="dxa"/>
        </w:tblCellMar>
      </w:tblPrEx>
      <w:trPr>
        <w:jc w:val="center"/>
      </w:trPr>
      <w:tc>
        <w:tcPr>
          <w:tcW w:w="2741" w:type="dxa"/>
        </w:tcPr>
        <w:p w14:paraId="0FFF3037" w14:textId="77777777" w:rsidR="00C33536" w:rsidRDefault="00000000">
          <w:pPr>
            <w:jc w:val="center"/>
          </w:pPr>
          <w:r>
            <w:rPr>
              <w:noProof/>
            </w:rPr>
            <w:drawing>
              <wp:inline distT="0" distB="0" distL="0" distR="0" wp14:anchorId="04F7CF70" wp14:editId="31DDC100">
                <wp:extent cx="1066800" cy="1066800"/>
                <wp:effectExtent l="0" t="0" r="0" b="0"/>
                <wp:docPr id="1383084990" name="Picture 138308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BE95910" w14:textId="77777777" w:rsidR="00C33536" w:rsidRDefault="00C33536">
          <w:pPr>
            <w:pStyle w:val="PDHeader"/>
          </w:pPr>
        </w:p>
      </w:tc>
      <w:tc>
        <w:tcPr>
          <w:tcW w:w="3732" w:type="dxa"/>
        </w:tcPr>
        <w:p w14:paraId="520AA5A9" w14:textId="77777777" w:rsidR="00C33536" w:rsidRDefault="00000000">
          <w:pPr>
            <w:jc w:val="center"/>
          </w:pPr>
          <w:r>
            <w:rPr>
              <w:noProof/>
            </w:rPr>
            <w:drawing>
              <wp:inline distT="0" distB="0" distL="0" distR="0" wp14:anchorId="2341DF86" wp14:editId="3128E605">
                <wp:extent cx="1638300" cy="600075"/>
                <wp:effectExtent l="0" t="0" r="0" b="0"/>
                <wp:docPr id="2022479163" name="Picture 202247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8DF6" w14:textId="77777777" w:rsidR="00C33536" w:rsidRDefault="00C33536">
    <w:pPr>
      <w:pStyle w:val="PDHeader"/>
    </w:pPr>
  </w:p>
  <w:p w14:paraId="6E2110DF" w14:textId="77777777" w:rsidR="00C33536" w:rsidRDefault="00C33536">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C33536" w14:paraId="1E7F43F2" w14:textId="77777777">
      <w:tblPrEx>
        <w:tblCellMar>
          <w:top w:w="0" w:type="dxa"/>
          <w:left w:w="0" w:type="dxa"/>
        </w:tblCellMar>
      </w:tblPrEx>
      <w:trPr>
        <w:jc w:val="center"/>
      </w:trPr>
      <w:tc>
        <w:tcPr>
          <w:tcW w:w="2741" w:type="dxa"/>
        </w:tcPr>
        <w:p w14:paraId="05913A9E" w14:textId="77777777" w:rsidR="00C33536" w:rsidRDefault="00000000">
          <w:pPr>
            <w:jc w:val="center"/>
          </w:pPr>
          <w:r>
            <w:rPr>
              <w:noProof/>
            </w:rPr>
            <w:drawing>
              <wp:inline distT="0" distB="0" distL="0" distR="0" wp14:anchorId="090D10D8" wp14:editId="554BE115">
                <wp:extent cx="1066800" cy="1066800"/>
                <wp:effectExtent l="0" t="0" r="0" b="0"/>
                <wp:docPr id="1198125631" name="Picture 119812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827FC3" w14:textId="77777777" w:rsidR="00C33536" w:rsidRDefault="00C33536">
          <w:pPr>
            <w:pStyle w:val="PDHeader"/>
          </w:pPr>
        </w:p>
      </w:tc>
      <w:tc>
        <w:tcPr>
          <w:tcW w:w="3732" w:type="dxa"/>
        </w:tcPr>
        <w:p w14:paraId="3C6C36CE" w14:textId="77777777" w:rsidR="00C33536" w:rsidRDefault="00000000">
          <w:pPr>
            <w:jc w:val="center"/>
          </w:pPr>
          <w:r>
            <w:rPr>
              <w:noProof/>
            </w:rPr>
            <w:drawing>
              <wp:inline distT="0" distB="0" distL="0" distR="0" wp14:anchorId="5B06C412" wp14:editId="2D9CDC2E">
                <wp:extent cx="1638300" cy="600075"/>
                <wp:effectExtent l="0" t="0" r="0" b="0"/>
                <wp:docPr id="1301562319" name="Picture 130156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11700A"/>
    <w:multiLevelType w:val="hybridMultilevel"/>
    <w:tmpl w:val="1AD01C22"/>
    <w:lvl w:ilvl="0" w:tplc="97C6ECA4">
      <w:start w:val="1"/>
      <w:numFmt w:val="bullet"/>
      <w:lvlText w:val="●"/>
      <w:lvlJc w:val="left"/>
      <w:pPr>
        <w:ind w:left="720" w:hanging="360"/>
      </w:pPr>
      <w:rPr>
        <w:rFonts w:ascii="Arial" w:hAnsi="Arial" w:hint="default"/>
      </w:rPr>
    </w:lvl>
    <w:lvl w:ilvl="1" w:tplc="F93C1FA4">
      <w:numFmt w:val="decimal"/>
      <w:lvlText w:val=""/>
      <w:lvlJc w:val="left"/>
    </w:lvl>
    <w:lvl w:ilvl="2" w:tplc="6298D2F8">
      <w:numFmt w:val="decimal"/>
      <w:lvlText w:val=""/>
      <w:lvlJc w:val="left"/>
    </w:lvl>
    <w:lvl w:ilvl="3" w:tplc="1D4EA326">
      <w:numFmt w:val="decimal"/>
      <w:lvlText w:val=""/>
      <w:lvlJc w:val="left"/>
    </w:lvl>
    <w:lvl w:ilvl="4" w:tplc="891ED8C8">
      <w:numFmt w:val="decimal"/>
      <w:lvlText w:val=""/>
      <w:lvlJc w:val="left"/>
    </w:lvl>
    <w:lvl w:ilvl="5" w:tplc="F92C9822">
      <w:numFmt w:val="decimal"/>
      <w:lvlText w:val=""/>
      <w:lvlJc w:val="left"/>
    </w:lvl>
    <w:lvl w:ilvl="6" w:tplc="F3CA4652">
      <w:numFmt w:val="decimal"/>
      <w:lvlText w:val=""/>
      <w:lvlJc w:val="left"/>
    </w:lvl>
    <w:lvl w:ilvl="7" w:tplc="1B5CE512">
      <w:numFmt w:val="decimal"/>
      <w:lvlText w:val=""/>
      <w:lvlJc w:val="left"/>
    </w:lvl>
    <w:lvl w:ilvl="8" w:tplc="A4B65442">
      <w:numFmt w:val="decimal"/>
      <w:lvlText w:val=""/>
      <w:lvlJc w:val="left"/>
    </w:lvl>
  </w:abstractNum>
  <w:abstractNum w:abstractNumId="2" w15:restartNumberingAfterBreak="0">
    <w:nsid w:val="3F9E5372"/>
    <w:multiLevelType w:val="hybridMultilevel"/>
    <w:tmpl w:val="176E5D4E"/>
    <w:lvl w:ilvl="0" w:tplc="EA741404">
      <w:start w:val="1"/>
      <w:numFmt w:val="bullet"/>
      <w:lvlText w:val="●"/>
      <w:lvlJc w:val="left"/>
      <w:pPr>
        <w:ind w:left="720" w:hanging="360"/>
      </w:pPr>
      <w:rPr>
        <w:rFonts w:ascii="Arial" w:hAnsi="Arial" w:hint="default"/>
      </w:rPr>
    </w:lvl>
    <w:lvl w:ilvl="1" w:tplc="2CDC6018">
      <w:numFmt w:val="decimal"/>
      <w:lvlText w:val=""/>
      <w:lvlJc w:val="left"/>
    </w:lvl>
    <w:lvl w:ilvl="2" w:tplc="06DCA096">
      <w:numFmt w:val="decimal"/>
      <w:lvlText w:val=""/>
      <w:lvlJc w:val="left"/>
    </w:lvl>
    <w:lvl w:ilvl="3" w:tplc="103641EA">
      <w:numFmt w:val="decimal"/>
      <w:lvlText w:val=""/>
      <w:lvlJc w:val="left"/>
    </w:lvl>
    <w:lvl w:ilvl="4" w:tplc="1F16CEAA">
      <w:numFmt w:val="decimal"/>
      <w:lvlText w:val=""/>
      <w:lvlJc w:val="left"/>
    </w:lvl>
    <w:lvl w:ilvl="5" w:tplc="EE1AE1FC">
      <w:numFmt w:val="decimal"/>
      <w:lvlText w:val=""/>
      <w:lvlJc w:val="left"/>
    </w:lvl>
    <w:lvl w:ilvl="6" w:tplc="0ADE55F0">
      <w:numFmt w:val="decimal"/>
      <w:lvlText w:val=""/>
      <w:lvlJc w:val="left"/>
    </w:lvl>
    <w:lvl w:ilvl="7" w:tplc="627479E0">
      <w:numFmt w:val="decimal"/>
      <w:lvlText w:val=""/>
      <w:lvlJc w:val="left"/>
    </w:lvl>
    <w:lvl w:ilvl="8" w:tplc="0792CA38">
      <w:numFmt w:val="decimal"/>
      <w:lvlText w:val=""/>
      <w:lvlJc w:val="left"/>
    </w:lvl>
  </w:abstractNum>
  <w:abstractNum w:abstractNumId="3" w15:restartNumberingAfterBreak="0">
    <w:nsid w:val="6530396B"/>
    <w:multiLevelType w:val="hybridMultilevel"/>
    <w:tmpl w:val="1792B3AC"/>
    <w:lvl w:ilvl="0" w:tplc="69823030">
      <w:start w:val="1"/>
      <w:numFmt w:val="bullet"/>
      <w:lvlText w:val="●"/>
      <w:lvlJc w:val="left"/>
      <w:pPr>
        <w:ind w:left="720" w:hanging="360"/>
      </w:pPr>
      <w:rPr>
        <w:rFonts w:ascii="Arial" w:hAnsi="Arial" w:hint="default"/>
      </w:rPr>
    </w:lvl>
    <w:lvl w:ilvl="1" w:tplc="F4CCF6CA">
      <w:numFmt w:val="decimal"/>
      <w:lvlText w:val=""/>
      <w:lvlJc w:val="left"/>
    </w:lvl>
    <w:lvl w:ilvl="2" w:tplc="4DEE3C6C">
      <w:numFmt w:val="decimal"/>
      <w:lvlText w:val=""/>
      <w:lvlJc w:val="left"/>
    </w:lvl>
    <w:lvl w:ilvl="3" w:tplc="789A4316">
      <w:numFmt w:val="decimal"/>
      <w:lvlText w:val=""/>
      <w:lvlJc w:val="left"/>
    </w:lvl>
    <w:lvl w:ilvl="4" w:tplc="016AB830">
      <w:numFmt w:val="decimal"/>
      <w:lvlText w:val=""/>
      <w:lvlJc w:val="left"/>
    </w:lvl>
    <w:lvl w:ilvl="5" w:tplc="BC7200B0">
      <w:numFmt w:val="decimal"/>
      <w:lvlText w:val=""/>
      <w:lvlJc w:val="left"/>
    </w:lvl>
    <w:lvl w:ilvl="6" w:tplc="A5A8A3BA">
      <w:numFmt w:val="decimal"/>
      <w:lvlText w:val=""/>
      <w:lvlJc w:val="left"/>
    </w:lvl>
    <w:lvl w:ilvl="7" w:tplc="8AA2D568">
      <w:numFmt w:val="decimal"/>
      <w:lvlText w:val=""/>
      <w:lvlJc w:val="left"/>
    </w:lvl>
    <w:lvl w:ilvl="8" w:tplc="A168B684">
      <w:numFmt w:val="decimal"/>
      <w:lvlText w:val=""/>
      <w:lvlJc w:val="left"/>
    </w:lvl>
  </w:abstractNum>
  <w:abstractNum w:abstractNumId="4" w15:restartNumberingAfterBreak="0">
    <w:nsid w:val="78E11077"/>
    <w:multiLevelType w:val="hybridMultilevel"/>
    <w:tmpl w:val="A964CEA6"/>
    <w:lvl w:ilvl="0" w:tplc="3E6C2952">
      <w:start w:val="1"/>
      <w:numFmt w:val="bullet"/>
      <w:lvlText w:val="●"/>
      <w:lvlJc w:val="left"/>
      <w:pPr>
        <w:ind w:left="720" w:hanging="360"/>
      </w:pPr>
      <w:rPr>
        <w:rFonts w:ascii="Arial" w:hAnsi="Arial" w:hint="default"/>
      </w:rPr>
    </w:lvl>
    <w:lvl w:ilvl="1" w:tplc="75BC480E">
      <w:numFmt w:val="decimal"/>
      <w:lvlText w:val=""/>
      <w:lvlJc w:val="left"/>
    </w:lvl>
    <w:lvl w:ilvl="2" w:tplc="923C968E">
      <w:numFmt w:val="decimal"/>
      <w:lvlText w:val=""/>
      <w:lvlJc w:val="left"/>
    </w:lvl>
    <w:lvl w:ilvl="3" w:tplc="597C4908">
      <w:numFmt w:val="decimal"/>
      <w:lvlText w:val=""/>
      <w:lvlJc w:val="left"/>
    </w:lvl>
    <w:lvl w:ilvl="4" w:tplc="45B81D8C">
      <w:numFmt w:val="decimal"/>
      <w:lvlText w:val=""/>
      <w:lvlJc w:val="left"/>
    </w:lvl>
    <w:lvl w:ilvl="5" w:tplc="FA9A7BA6">
      <w:numFmt w:val="decimal"/>
      <w:lvlText w:val=""/>
      <w:lvlJc w:val="left"/>
    </w:lvl>
    <w:lvl w:ilvl="6" w:tplc="04DA5996">
      <w:numFmt w:val="decimal"/>
      <w:lvlText w:val=""/>
      <w:lvlJc w:val="left"/>
    </w:lvl>
    <w:lvl w:ilvl="7" w:tplc="3BF0BE56">
      <w:numFmt w:val="decimal"/>
      <w:lvlText w:val=""/>
      <w:lvlJc w:val="left"/>
    </w:lvl>
    <w:lvl w:ilvl="8" w:tplc="9EF22196">
      <w:numFmt w:val="decimal"/>
      <w:lvlText w:val=""/>
      <w:lvlJc w:val="left"/>
    </w:lvl>
  </w:abstractNum>
  <w:abstractNum w:abstractNumId="5"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7D6662"/>
    <w:multiLevelType w:val="hybridMultilevel"/>
    <w:tmpl w:val="3A54F544"/>
    <w:lvl w:ilvl="0" w:tplc="F75E6EA6">
      <w:start w:val="1"/>
      <w:numFmt w:val="bullet"/>
      <w:lvlText w:val="●"/>
      <w:lvlJc w:val="left"/>
      <w:pPr>
        <w:ind w:left="720" w:hanging="360"/>
      </w:pPr>
      <w:rPr>
        <w:rFonts w:ascii="Arial" w:hAnsi="Arial" w:hint="default"/>
      </w:rPr>
    </w:lvl>
    <w:lvl w:ilvl="1" w:tplc="64688654">
      <w:numFmt w:val="decimal"/>
      <w:lvlText w:val=""/>
      <w:lvlJc w:val="left"/>
    </w:lvl>
    <w:lvl w:ilvl="2" w:tplc="E99EFCA8">
      <w:numFmt w:val="decimal"/>
      <w:lvlText w:val=""/>
      <w:lvlJc w:val="left"/>
    </w:lvl>
    <w:lvl w:ilvl="3" w:tplc="66AEA040">
      <w:numFmt w:val="decimal"/>
      <w:lvlText w:val=""/>
      <w:lvlJc w:val="left"/>
    </w:lvl>
    <w:lvl w:ilvl="4" w:tplc="2A1CEBC4">
      <w:numFmt w:val="decimal"/>
      <w:lvlText w:val=""/>
      <w:lvlJc w:val="left"/>
    </w:lvl>
    <w:lvl w:ilvl="5" w:tplc="50484BB6">
      <w:numFmt w:val="decimal"/>
      <w:lvlText w:val=""/>
      <w:lvlJc w:val="left"/>
    </w:lvl>
    <w:lvl w:ilvl="6" w:tplc="0884E9DC">
      <w:numFmt w:val="decimal"/>
      <w:lvlText w:val=""/>
      <w:lvlJc w:val="left"/>
    </w:lvl>
    <w:lvl w:ilvl="7" w:tplc="2B98DA82">
      <w:numFmt w:val="decimal"/>
      <w:lvlText w:val=""/>
      <w:lvlJc w:val="left"/>
    </w:lvl>
    <w:lvl w:ilvl="8" w:tplc="2E828D9A">
      <w:numFmt w:val="decimal"/>
      <w:lvlText w:val=""/>
      <w:lvlJc w:val="left"/>
    </w:lvl>
  </w:abstractNum>
  <w:num w:numId="1" w16cid:durableId="421995474">
    <w:abstractNumId w:val="5"/>
  </w:num>
  <w:num w:numId="2" w16cid:durableId="1946380924">
    <w:abstractNumId w:val="0"/>
  </w:num>
  <w:num w:numId="3" w16cid:durableId="1218469131">
    <w:abstractNumId w:val="4"/>
  </w:num>
  <w:num w:numId="4" w16cid:durableId="991373545">
    <w:abstractNumId w:val="2"/>
  </w:num>
  <w:num w:numId="5" w16cid:durableId="341471440">
    <w:abstractNumId w:val="6"/>
  </w:num>
  <w:num w:numId="6" w16cid:durableId="1121261445">
    <w:abstractNumId w:val="1"/>
  </w:num>
  <w:num w:numId="7" w16cid:durableId="9117381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36"/>
    <w:rsid w:val="007B7F35"/>
    <w:rsid w:val="00C068A2"/>
    <w:rsid w:val="00C33536"/>
    <w:rsid w:val="00C77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AB79"/>
  <w15:docId w15:val="{1DFB5299-7A2D-4C91-B24A-E2248651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3075</Words>
  <Characters>17533</Characters>
  <Application>Microsoft Office Word</Application>
  <DocSecurity>0</DocSecurity>
  <Lines>146</Lines>
  <Paragraphs>41</Paragraphs>
  <ScaleCrop>false</ScaleCrop>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2025-09-18T13:23:00Z</dcterms:created>
  <dcterms:modified xsi:type="dcterms:W3CDTF">2025-09-18T13:23:00Z</dcterms:modified>
</cp:coreProperties>
</file>