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Created by docx4j 11.5.2 (Apache licensed) using REFERENCE JAXB in Amazon.com Inc. Java 17.0.7 on Linux -->
    <w:tbl>
      <w:tblPr>
        <w:tblStyle w:val="TableGridWithHeader"/>
        <w:tblW w:w="0" w:type="auto"/>
        <w:jc w:val="center"/>
        <w:tblLook w:val="04A0"/>
      </w:tblPr>
      <w:tblGrid>
        <w:gridCol w:w="3576"/>
        <w:gridCol w:w="7138"/>
      </w:tblGrid>
      <w:tr>
        <w:tc>
          <w:tcPr>
            <w:tcW w:w="10714" w:type="dxa"/>
            <w:gridSpan w:val="2"/>
          </w:tcPr>
          <w:p>
            <w:pPr>
              <w:jc w:val="center"/>
            </w:pPr>
            <w:r>
              <w:rPr>
                <w:strike w:val="false"/>
                <w:u w:val="none"/>
              </w:rPr>
              <w:t xml:space="preserve">INCLUDED IN ONDEDRIVE TO ONEDRIVE MIGRATION FEATURES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Preserving File/Folder structure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Onetime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initial data migration from source to destination is considered as One-time migration.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Delta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Migration of incremental changes made in source during the onetime migration.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Root Folder Permissions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root folder permissions along with access levels.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Root File Permissions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Root file permissions along with access levels.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Sub-folder permissions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subfolder permissions along with access levels.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Inner file permissions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inner file permissions along with access levels.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Shared links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migrates all shared links from source to destination and maintains the type of links.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External Shares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Metadata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Version History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Migration of all file versions from source to destination.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Auto-Retry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c>
          <w:tcPr>
            <w:tcW w:w="3576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Suppress email notifications</w:t>
            </w:r>
          </w:p>
        </w:tc>
        <w:tc>
          <w:tcPr>
            <w:tcW w:w="7138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p>
      <w:pPr>
        <w:sectPr>
          <w:type w:val="nextPage"/>
          <w:pgSz w:w="12240" w:h="15840" w:code="1"/>
          <w:pgMar w:top="979" w:right="763" w:bottom="979" w:left="763" w:header="240" w:footer="240"/>
        </w:sectPr>
      </w:pPr>
    </w:p>
    <w:tbl>
      <w:tblPr>
        <w:tblStyle w:val="TableGridWithHeader"/>
        <w:tblW w:w="0" w:type="auto"/>
        <w:jc w:val="center"/>
        <w:tblLook w:val="04A0"/>
      </w:tblPr>
      <w:tblGrid>
        <w:gridCol w:w="3681"/>
        <w:gridCol w:w="7033"/>
      </w:tblGrid>
      <w:tr>
        <w:tc>
          <w:tcPr>
            <w:tcW w:w="10714" w:type="dxa"/>
            <w:gridSpan w:val="2"/>
          </w:tcPr>
          <w:p>
            <w:pPr>
              <w:jc w:val="center"/>
            </w:pPr>
            <w:r>
              <w:rPr>
                <w:strike w:val="false"/>
                <w:u w:val="none"/>
              </w:rPr>
              <w:t xml:space="preserve">INCLUDED IN SHAREPOINT TO SHAREPOINT MIGRATION FEATURES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Preserving File/Folder structure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ensures the seamless migration of the data from the source cloud to destination, preserving the accuracy and integrity of the data structure.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Onetime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initial data migration from source to destination is considered as One-time migration.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Delta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Migration of incremental changes made in source during the onetime migration.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Root Folder Permissions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root folder permissions along with access levels.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Root File Permissions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Root file permissions along with access levels.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Sub-folder permissions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subfolder permissions along with access levels.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Inner file permissions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preserves all inner file permissions along with access levels.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Shared links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migrates all shared links from source to destination and maintains the type of links.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External Shares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CloudFuze can migrate external permissions (Files/Folders shared with people of outside organizations) of files/folders to the destination along with access levels.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Metadata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Version History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Migration of all file versions from source to destination.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Long-File/folder path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Auto-Retry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  <w:tr>
        <w:tc>
          <w:tcPr>
            <w:tcW w:w="3681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Suppress email notifications</w:t>
            </w:r>
          </w:p>
        </w:tc>
        <w:tc>
          <w:tcPr>
            <w:tcW w:w="7033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p/>
    <w:sectPr>
      <w:type w:val="nextPage"/>
      <w:pgSz w:w="12240" w:h="15840" w:code="1"/>
      <w:pgMar w:top="979" w:right="763" w:bottom="979" w:left="763" w:header="240" w:footer="2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displayBackgroundShape/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 w:line="300" w:lineRule="auto"/>
      <w:ind w:left="0" w:firstLine="0"/>
      <w:jc w:val="left"/>
      <w:outlineLvl w:val="0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1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2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 w:eastAsia="Arial"/>
      <w:b w:val="true"/>
      <w:bCs w:val="true"/>
      <w:i w:val="false"/>
      <w:iCs w:val="false"/>
      <w:caps w:val="false"/>
      <w:color w:val="666666"/>
      <w:sz w:val="21"/>
      <w:szCs w:val="21"/>
      <w:u w:val="none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Arial" w:hAnsi="Arial" w:cs="Arial" w:eastAsia="Arial"/>
      <w:b/>
      <w:bCs/>
      <w:color w:val="365F91" w:themeColor="accent1" w:themeShade="BF"/>
      <w:sz w:val="21"/>
      <w:szCs w:val="21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Arial" w:hAnsi="Arial" w:cs="Arial" w:eastAsia="Arial"/>
      <w:b/>
      <w:bCs/>
      <w:color w:val="4F81BD" w:themeColor="accent1"/>
      <w:sz w:val="21"/>
      <w:szCs w:val="21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Arial" w:hAnsi="Arial" w:cs="Arial" w:eastAsia="Arial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Arial" w:hAnsi="Arial" w:cs="Arial" w:eastAsia="Arial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Arial" w:hAnsi="Arial" w:cs="Arial" w:eastAsia="Arial"/>
      <w:i/>
      <w:iCs/>
      <w:color w:val="4F81BD" w:themeColor="accent1"/>
      <w:spacing w:val="15"/>
      <w:sz w:val="21"/>
      <w:szCs w:val="21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Arial" w:hAnsi="Arial" w:cs="Arial" w:eastAsia="Arial"/>
      <w:i/>
      <w:iCs/>
      <w:color w:val="4F81BD" w:themeColor="accent1"/>
      <w:spacing w:val="15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21"/>
      <w:szCs w:val="21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Arial" w:hAnsi="Arial" w:cs="Arial" w:eastAsia="Arial"/>
      <w:color w:val="17365D" w:themeColor="text2" w:themeShade="BF"/>
      <w:spacing w:val="5"/>
      <w:kern w:val="2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21"/>
      <w:szCs w:val="21"/>
    </w:rPr>
  </w:style>
  <w:style w:styleId="BasePDHeaderFooter">
    <w:name w:val="BasePDHeaderFooter"/>
    <w:basedOn w:val="Normal"/>
    <w:uiPriority w:val="99"/>
    <w:pPr>
      <w:spacing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</w:style>
  <w:style w:styleId="PDHeader">
    <w:name w:val="PDHeader"/>
    <w:basedOn w:val="BasePDHeaderFooter"/>
    <w:uiPriority w:val="99"/>
    <w:pPr/>
  </w:style>
  <w:style w:styleId="PDFooter">
    <w:name w:val="PDFooter"/>
    <w:basedOn w:val="BasePDHeaderFooter"/>
    <w:uiPriority w:val="99"/>
    <w:pPr/>
  </w:style>
  <w:style w:styleId="PDHeadingDefault">
    <w:name w:val="PDHeadingDefault"/>
    <w:basedOn w:val="Normal"/>
    <w:uiPriority w:val="99"/>
    <w:pPr>
      <w:spacing w:line="300" w:lineRule="auto"/>
      <w:ind w:left="0" w:firstLine="0"/>
      <w:jc w:val="left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u w:val="none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 w:eastAsia="Arial"/>
      <w:b w:val="true"/>
      <w:bCs w:val="true"/>
      <w:i w:val="false"/>
      <w:iCs w:val="false"/>
      <w:caps w:val="false"/>
      <w:color w:val="666666"/>
      <w:sz w:val="21"/>
      <w:szCs w:val="21"/>
      <w:u w:val="none"/>
    </w:rPr>
  </w:style>
  <w:style w:type="character" w:styleId="Heading5Char" w:customStyle="true">
    <w:name w:val="Heading 5 Char"/>
    <w:basedOn w:val="PDHeadingDefault"/>
    <w:link w:val="Heading5"/>
    <w:uiPriority w:val="9"/>
    <w:rsid w:val="00841CD9"/>
    <w:rPr>
      <w:rFonts w:ascii="Arial" w:hAnsi="Arial" w:cs="Arial" w:eastAsia="Arial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b w:val="false"/>
      <w:bCs w:val="false"/>
      <w:i w:val="false"/>
      <w:iCs w:val="false"/>
      <w:color w:val="1b58c5"/>
      <w:u w:val="single"/>
    </w:rPr>
  </w:style>
  <w:style w:type="table" w:styleId="PDPricingTableMain">
    <w:name w:val="PDPricingTableMain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</w:style>
  <w:style w:type="table" w:styleId="PDPricingTableMainWithHeader">
    <w:name w:val="PDPricingTableMainWithHeader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 w:eastAsia="Arial"/>
        <w:b w:val="true"/>
        <w:bCs w:val="true"/>
        <w:i w:val="false"/>
        <w:iCs w:val="false"/>
        <w:caps w:val="false"/>
        <w:color w:val="000000"/>
        <w:sz w:val="21"/>
        <w:szCs w:val="21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PricingTableTotal">
    <w:name w:val="PDPricingTableTotal"/>
    <w:basedOn w:val="Normal"/>
    <w:uiPriority w:val="99"/>
    <w:pPr>
      <w:spacing w:before="0"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olor w:val="000000"/>
      <w:sz w:val="21"/>
      <w:szCs w:val="21"/>
      <w:u w:val="none"/>
    </w:rPr>
  </w:style>
  <w:style w:type="table" w:styleId="TableGrid">
    <w:name w:val="Table Grid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</w:style>
  <w:style w:type="table" w:styleId="TableGridWithHeader">
    <w:name w:val="TableGridWithHeader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</w:pPr>
      <w:rPr>
        <w:rFonts w:ascii="Arial" w:hAnsi="Arial" w:cs="Arial" w:eastAsia="Arial"/>
        <w:b w:val="true"/>
        <w:bCs w:val="true"/>
        <w:i w:val="false"/>
        <w:iCs w:val="false"/>
        <w:caps w:val="false"/>
        <w:color w:val="000000"/>
        <w:sz w:val="21"/>
        <w:szCs w:val="21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RowItem">
    <w:name w:val="PDRowItem"/>
    <w:basedOn w:val="Normal"/>
    <w:uiPriority w:val="99"/>
    <w:tblPr xmlns:xsi="http://www.w3.org/2001/XMLSchema-instance" xsi:type="w:CT_TblPr">
      <w:tblCellMar>
        <w:bottom w:w="350" w:type="dxa"/>
        <w:right w:w="180" w:type="dxa"/>
      </w:tblCellMar>
    </w:tblPr>
  </w:style>
  <w:style w:styleId="PDParagraphDefault">
    <w:name w:val="PDParagraphDefault"/>
    <w:basedOn w:val="Normal"/>
    <w:uiPriority w:val="99"/>
    <w:pPr>
      <w:spacing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