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POL-01 — Affordability Policy</w:t>
      </w:r>
    </w:p>
    <w:p>
      <w:pPr>
        <w:jc w:val="center"/>
      </w:pPr>
      <w:r>
        <w:rPr>
          <w:b/>
        </w:rPr>
        <w:t>Version 2025.1 • SYNTHETIC POLICY – RESEARCH USE ONLY</w:t>
      </w:r>
    </w:p>
    <w:p>
      <w:pPr>
        <w:pStyle w:val="Heading1"/>
      </w:pPr>
      <w:r>
        <w:t>Purpose</w:t>
      </w:r>
    </w:p>
    <w:p>
      <w:r>
        <w:t>Assess scheduled loan payment relative to applicant income.</w:t>
      </w:r>
    </w:p>
    <w:p>
      <w:pPr>
        <w:pStyle w:val="Heading1"/>
      </w:pPr>
      <w:r>
        <w:t>Home Credit Fields Used</w:t>
      </w:r>
    </w:p>
    <w:p>
      <w:r>
        <w:t>AMT_ANNUITY; AMT_INCOME_TOTAL</w:t>
      </w:r>
    </w:p>
    <w:p>
      <w:pPr>
        <w:pStyle w:val="Heading1"/>
      </w:pPr>
      <w:r>
        <w:t>Measure</w:t>
      </w:r>
    </w:p>
    <w:p>
      <w:r>
        <w:t>PTI = AMT_ANNUITY ÷ AMT_INCOME_TOTAL × 100</w:t>
      </w:r>
    </w:p>
    <w:p>
      <w:pPr>
        <w:pStyle w:val="Heading1"/>
      </w:pPr>
      <w:r>
        <w:t>Policy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Condition</w:t>
            </w:r>
          </w:p>
        </w:tc>
        <w:tc>
          <w:tcPr>
            <w:tcW w:type="dxa" w:w="3408"/>
            <w:shd w:fill="D9EAF7"/>
          </w:tcPr>
          <w:p>
            <w:r>
              <w:t>Classification</w:t>
            </w:r>
          </w:p>
        </w:tc>
        <w:tc>
          <w:tcPr>
            <w:tcW w:type="dxa" w:w="3408"/>
            <w:shd w:fill="D9EAF7"/>
          </w:tcPr>
          <w:p>
            <w:r>
              <w:t>Treatment</w:t>
            </w:r>
          </w:p>
        </w:tc>
      </w:tr>
      <w:tr>
        <w:tc>
          <w:tcPr>
            <w:tcW w:type="dxa" w:w="3408"/>
          </w:tcPr>
          <w:p>
            <w:r>
              <w:t>PTI ≤ 25%</w:t>
            </w:r>
          </w:p>
        </w:tc>
        <w:tc>
          <w:tcPr>
            <w:tcW w:type="dxa" w:w="3408"/>
          </w:tcPr>
          <w:p>
            <w:r>
              <w:t>Standard</w:t>
            </w:r>
          </w:p>
        </w:tc>
        <w:tc>
          <w:tcPr>
            <w:tcW w:type="dxa" w:w="3408"/>
          </w:tcPr>
          <w:p>
            <w:r>
              <w:t>No affordability exception</w:t>
            </w:r>
          </w:p>
        </w:tc>
      </w:tr>
      <w:tr>
        <w:tc>
          <w:tcPr>
            <w:tcW w:type="dxa" w:w="3408"/>
          </w:tcPr>
          <w:p>
            <w:r>
              <w:t>PTI &gt;25% to ≤35%</w:t>
            </w:r>
          </w:p>
        </w:tc>
        <w:tc>
          <w:tcPr>
            <w:tcW w:type="dxa" w:w="3408"/>
          </w:tcPr>
          <w:p>
            <w:r>
              <w:t>Enhanced Review</w:t>
            </w:r>
          </w:p>
        </w:tc>
        <w:tc>
          <w:tcPr>
            <w:tcW w:type="dxa" w:w="3408"/>
          </w:tcPr>
          <w:p>
            <w:r>
              <w:t>Additional affordability review</w:t>
            </w:r>
          </w:p>
        </w:tc>
      </w:tr>
      <w:tr>
        <w:tc>
          <w:tcPr>
            <w:tcW w:type="dxa" w:w="3408"/>
          </w:tcPr>
          <w:p>
            <w:r>
              <w:t>PTI &gt;35%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Material affordability concern</w:t>
            </w:r>
          </w:p>
        </w:tc>
      </w:tr>
    </w:tbl>
    <w:p>
      <w:pPr>
        <w:pStyle w:val="Heading1"/>
      </w:pPr>
      <w:r>
        <w:t>Research Note</w:t>
      </w:r>
    </w:p>
    <w:p>
      <w:r>
        <w:t>Historical version. Use only when the experiment intentionally applies/retrieves the 2025 policy.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