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POL-01 — Affordability Policy</w:t>
      </w:r>
    </w:p>
    <w:p>
      <w:pPr>
        <w:jc w:val="center"/>
      </w:pPr>
      <w:r>
        <w:rPr>
          <w:b/>
        </w:rPr>
        <w:t>Version 2026.1 • SYNTHETIC POLICY – RESEARCH USE ONLY</w:t>
      </w:r>
    </w:p>
    <w:p>
      <w:pPr>
        <w:pStyle w:val="Heading1"/>
      </w:pPr>
      <w:r>
        <w:t>Purpose</w:t>
      </w:r>
    </w:p>
    <w:p>
      <w:r>
        <w:t>Assess scheduled loan payment relative to applicant income.</w:t>
      </w:r>
    </w:p>
    <w:p>
      <w:pPr>
        <w:pStyle w:val="Heading1"/>
      </w:pPr>
      <w:r>
        <w:t>Home Credit Fields Used</w:t>
      </w:r>
    </w:p>
    <w:p>
      <w:r>
        <w:t>AMT_ANNUITY; AMT_INCOME_TOTAL</w:t>
      </w:r>
    </w:p>
    <w:p>
      <w:pPr>
        <w:pStyle w:val="Heading1"/>
      </w:pPr>
      <w:r>
        <w:t>Measure</w:t>
      </w:r>
    </w:p>
    <w:p>
      <w:r>
        <w:t>PTI = AMT_ANNUITY ÷ AMT_INCOME_TOTAL × 100</w:t>
      </w:r>
    </w:p>
    <w:p>
      <w:pPr>
        <w:pStyle w:val="Heading1"/>
      </w:pPr>
      <w:r>
        <w:t>Policy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Condition</w:t>
            </w:r>
          </w:p>
        </w:tc>
        <w:tc>
          <w:tcPr>
            <w:tcW w:type="dxa" w:w="3408"/>
            <w:shd w:fill="D9EAF7"/>
          </w:tcPr>
          <w:p>
            <w:r>
              <w:t>Classification</w:t>
            </w:r>
          </w:p>
        </w:tc>
        <w:tc>
          <w:tcPr>
            <w:tcW w:type="dxa" w:w="3408"/>
            <w:shd w:fill="D9EAF7"/>
          </w:tcPr>
          <w:p>
            <w:r>
              <w:t>Treatment</w:t>
            </w:r>
          </w:p>
        </w:tc>
      </w:tr>
      <w:tr>
        <w:tc>
          <w:tcPr>
            <w:tcW w:type="dxa" w:w="3408"/>
          </w:tcPr>
          <w:p>
            <w:r>
              <w:t>PTI ≤ 20%</w:t>
            </w:r>
          </w:p>
        </w:tc>
        <w:tc>
          <w:tcPr>
            <w:tcW w:type="dxa" w:w="3408"/>
          </w:tcPr>
          <w:p>
            <w:r>
              <w:t>Standard</w:t>
            </w:r>
          </w:p>
        </w:tc>
        <w:tc>
          <w:tcPr>
            <w:tcW w:type="dxa" w:w="3408"/>
          </w:tcPr>
          <w:p>
            <w:r>
              <w:t>No affordability exception</w:t>
            </w:r>
          </w:p>
        </w:tc>
      </w:tr>
      <w:tr>
        <w:tc>
          <w:tcPr>
            <w:tcW w:type="dxa" w:w="3408"/>
          </w:tcPr>
          <w:p>
            <w:r>
              <w:t>PTI &gt;20% to ≤30%</w:t>
            </w:r>
          </w:p>
        </w:tc>
        <w:tc>
          <w:tcPr>
            <w:tcW w:type="dxa" w:w="3408"/>
          </w:tcPr>
          <w:p>
            <w:r>
              <w:t>Enhanced Review</w:t>
            </w:r>
          </w:p>
        </w:tc>
        <w:tc>
          <w:tcPr>
            <w:tcW w:type="dxa" w:w="3408"/>
          </w:tcPr>
          <w:p>
            <w:r>
              <w:t>Additional affordability review</w:t>
            </w:r>
          </w:p>
        </w:tc>
      </w:tr>
      <w:tr>
        <w:tc>
          <w:tcPr>
            <w:tcW w:type="dxa" w:w="3408"/>
          </w:tcPr>
          <w:p>
            <w:r>
              <w:t>PTI &gt;30%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  <w:tc>
          <w:tcPr>
            <w:tcW w:type="dxa" w:w="3408"/>
          </w:tcPr>
          <w:p>
            <w:r>
              <w:t>Material affordability concern</w:t>
            </w:r>
          </w:p>
        </w:tc>
      </w:tr>
    </w:tbl>
    <w:p>
      <w:pPr>
        <w:pStyle w:val="Heading1"/>
      </w:pPr>
      <w:r>
        <w:t>Research Note</w:t>
      </w:r>
    </w:p>
    <w:p>
      <w:r>
        <w:t>Current version. This is the default applicable policy.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