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POL-02 — Credit Exposure Policy</w:t>
      </w:r>
    </w:p>
    <w:p>
      <w:pPr>
        <w:jc w:val="center"/>
      </w:pPr>
      <w:r>
        <w:rPr>
          <w:b/>
        </w:rPr>
        <w:t>Version 2025.1 • SYNTHETIC POLICY – RESEARCH USE ONLY</w:t>
      </w:r>
    </w:p>
    <w:p>
      <w:pPr>
        <w:pStyle w:val="Heading1"/>
      </w:pPr>
      <w:r>
        <w:t>Purpose</w:t>
      </w:r>
    </w:p>
    <w:p>
      <w:r>
        <w:t>Assess requested credit relative to annual applicant income.</w:t>
      </w:r>
    </w:p>
    <w:p>
      <w:pPr>
        <w:pStyle w:val="Heading1"/>
      </w:pPr>
      <w:r>
        <w:t>Home Credit Fields Used</w:t>
      </w:r>
    </w:p>
    <w:p>
      <w:r>
        <w:t>AMT_CREDIT; AMT_INCOME_TOTAL</w:t>
      </w:r>
    </w:p>
    <w:p>
      <w:pPr>
        <w:pStyle w:val="Heading1"/>
      </w:pPr>
      <w:r>
        <w:t>Measure</w:t>
      </w:r>
    </w:p>
    <w:p>
      <w:r>
        <w:t>CTI = AMT_CREDIT ÷ AMT_INCOME_TOTAL</w:t>
      </w:r>
    </w:p>
    <w:p>
      <w:pPr>
        <w:pStyle w:val="Heading1"/>
      </w:pPr>
      <w:r>
        <w:t>Policy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Condition</w:t>
            </w:r>
          </w:p>
        </w:tc>
        <w:tc>
          <w:tcPr>
            <w:tcW w:type="dxa" w:w="3408"/>
            <w:shd w:fill="D9EAF7"/>
          </w:tcPr>
          <w:p>
            <w:r>
              <w:t>Classification</w:t>
            </w:r>
          </w:p>
        </w:tc>
        <w:tc>
          <w:tcPr>
            <w:tcW w:type="dxa" w:w="3408"/>
            <w:shd w:fill="D9EAF7"/>
          </w:tcPr>
          <w:p>
            <w:r>
              <w:t>Treatment</w:t>
            </w:r>
          </w:p>
        </w:tc>
      </w:tr>
      <w:tr>
        <w:tc>
          <w:tcPr>
            <w:tcW w:type="dxa" w:w="3408"/>
          </w:tcPr>
          <w:p>
            <w:r>
              <w:t>CTI ≤ 4.0x</w:t>
            </w:r>
          </w:p>
        </w:tc>
        <w:tc>
          <w:tcPr>
            <w:tcW w:type="dxa" w:w="3408"/>
          </w:tcPr>
          <w:p>
            <w:r>
              <w:t>Standard</w:t>
            </w:r>
          </w:p>
        </w:tc>
        <w:tc>
          <w:tcPr>
            <w:tcW w:type="dxa" w:w="3408"/>
          </w:tcPr>
          <w:p>
            <w:r>
              <w:t>No exposure exception</w:t>
            </w:r>
          </w:p>
        </w:tc>
      </w:tr>
      <w:tr>
        <w:tc>
          <w:tcPr>
            <w:tcW w:type="dxa" w:w="3408"/>
          </w:tcPr>
          <w:p>
            <w:r>
              <w:t>CTI &gt;4.0x to ≤6.0x</w:t>
            </w:r>
          </w:p>
        </w:tc>
        <w:tc>
          <w:tcPr>
            <w:tcW w:type="dxa" w:w="3408"/>
          </w:tcPr>
          <w:p>
            <w:r>
              <w:t>Enhanced Review</w:t>
            </w:r>
          </w:p>
        </w:tc>
        <w:tc>
          <w:tcPr>
            <w:tcW w:type="dxa" w:w="3408"/>
          </w:tcPr>
          <w:p>
            <w:r>
              <w:t>Additional exposure review</w:t>
            </w:r>
          </w:p>
        </w:tc>
      </w:tr>
      <w:tr>
        <w:tc>
          <w:tcPr>
            <w:tcW w:type="dxa" w:w="3408"/>
          </w:tcPr>
          <w:p>
            <w:r>
              <w:t>CTI &gt;6.0x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Material exposure concern</w:t>
            </w:r>
          </w:p>
        </w:tc>
      </w:tr>
    </w:tbl>
    <w:p>
      <w:pPr>
        <w:pStyle w:val="Heading1"/>
      </w:pPr>
      <w:r>
        <w:t>Research Note</w:t>
      </w:r>
    </w:p>
    <w:p>
      <w:r>
        <w:t>Historical version. Thresholds are intentionally more permissive than 2026.1 to create a controlled version-change experiment.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